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Default="006D5C3F" w:rsidP="00D028CC">
      <w:r>
        <w:rPr>
          <w:rFonts w:ascii="Calibri" w:hAnsi="Calibri"/>
          <w:b/>
          <w:noProof/>
          <w:sz w:val="44"/>
          <w:szCs w:val="4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5647962</wp:posOffset>
            </wp:positionH>
            <wp:positionV relativeFrom="paragraph">
              <wp:posOffset>-64770</wp:posOffset>
            </wp:positionV>
            <wp:extent cx="718457" cy="12114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-areas-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57" cy="1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A25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-106471</wp:posOffset>
            </wp:positionH>
            <wp:positionV relativeFrom="paragraph">
              <wp:posOffset>-181627</wp:posOffset>
            </wp:positionV>
            <wp:extent cx="3982641" cy="12150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ention_Communications\art\logos\BHC-left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641" cy="12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20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3"/>
        <w:gridCol w:w="4646"/>
        <w:gridCol w:w="45"/>
        <w:gridCol w:w="3789"/>
      </w:tblGrid>
      <w:tr w:rsidR="00DD1EFC" w:rsidTr="007C5639">
        <w:trPr>
          <w:cantSplit/>
          <w:trHeight w:hRule="exact" w:val="1324"/>
          <w:jc w:val="center"/>
        </w:trPr>
        <w:tc>
          <w:tcPr>
            <w:tcW w:w="120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7B9" w:rsidRDefault="00E757B9" w:rsidP="00D028CC"/>
          <w:p w:rsidR="00E757B9" w:rsidRPr="00E757B9" w:rsidRDefault="00E757B9" w:rsidP="00D028CC"/>
          <w:p w:rsidR="00E757B9" w:rsidRPr="00E757B9" w:rsidRDefault="00E757B9" w:rsidP="00D028CC"/>
          <w:p w:rsidR="00E757B9" w:rsidRDefault="00A0479A" w:rsidP="00D028CC">
            <w:r>
              <w:t>We</w:t>
            </w:r>
          </w:p>
          <w:p w:rsidR="00A0479A" w:rsidRDefault="00A0479A" w:rsidP="00D028CC"/>
          <w:p w:rsidR="00A0479A" w:rsidRPr="00A0479A" w:rsidRDefault="00A0479A" w:rsidP="00D028CC"/>
        </w:tc>
        <w:tc>
          <w:tcPr>
            <w:tcW w:w="84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E757B9" w:rsidRPr="00296D6F" w:rsidRDefault="00E757B9" w:rsidP="00D028CC"/>
        </w:tc>
      </w:tr>
      <w:tr w:rsidR="00DD1EFC" w:rsidTr="00F86E28">
        <w:trPr>
          <w:cantSplit/>
          <w:trHeight w:hRule="exact" w:val="109"/>
          <w:jc w:val="center"/>
        </w:trPr>
        <w:tc>
          <w:tcPr>
            <w:tcW w:w="12023" w:type="dxa"/>
            <w:tcBorders>
              <w:top w:val="single" w:sz="4" w:space="0" w:color="FFFFFF" w:themeColor="background1"/>
            </w:tcBorders>
          </w:tcPr>
          <w:p w:rsidR="00E757B9" w:rsidRDefault="00E757B9" w:rsidP="00D028CC"/>
        </w:tc>
        <w:tc>
          <w:tcPr>
            <w:tcW w:w="4646" w:type="dxa"/>
            <w:tcBorders>
              <w:top w:val="single" w:sz="4" w:space="0" w:color="FFFFFF" w:themeColor="background1"/>
            </w:tcBorders>
          </w:tcPr>
          <w:p w:rsidR="00E757B9" w:rsidRDefault="00E757B9" w:rsidP="00D028CC"/>
        </w:tc>
        <w:tc>
          <w:tcPr>
            <w:tcW w:w="45" w:type="dxa"/>
          </w:tcPr>
          <w:p w:rsidR="00E757B9" w:rsidRDefault="00E757B9" w:rsidP="00D028CC"/>
        </w:tc>
        <w:tc>
          <w:tcPr>
            <w:tcW w:w="3789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E757B9" w:rsidRDefault="00E757B9" w:rsidP="00D028CC"/>
        </w:tc>
      </w:tr>
      <w:tr w:rsidR="00DD1EFC" w:rsidTr="00D028CC">
        <w:trPr>
          <w:cantSplit/>
          <w:trHeight w:val="351"/>
          <w:jc w:val="center"/>
        </w:trPr>
        <w:tc>
          <w:tcPr>
            <w:tcW w:w="12023" w:type="dxa"/>
            <w:shd w:val="clear" w:color="auto" w:fill="FFA830" w:themeFill="accent2"/>
          </w:tcPr>
          <w:p w:rsidR="00E757B9" w:rsidRDefault="003B438F" w:rsidP="00D028CC">
            <w:r>
              <w:t>Bu</w:t>
            </w:r>
            <w:r>
              <w:tab/>
            </w:r>
          </w:p>
        </w:tc>
        <w:tc>
          <w:tcPr>
            <w:tcW w:w="4646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E757B9" w:rsidRPr="00DD1EFC" w:rsidRDefault="00E757B9" w:rsidP="00D028CC">
            <w:pPr>
              <w:rPr>
                <w:b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  <w:vAlign w:val="center"/>
          </w:tcPr>
          <w:p w:rsidR="00E757B9" w:rsidRDefault="00E757B9" w:rsidP="00D028CC"/>
        </w:tc>
        <w:tc>
          <w:tcPr>
            <w:tcW w:w="3789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E757B9" w:rsidRDefault="00E757B9" w:rsidP="00D028CC">
            <w:r>
              <w:t>In This Issue</w:t>
            </w:r>
          </w:p>
        </w:tc>
      </w:tr>
    </w:tbl>
    <w:p w:rsidR="0001065E" w:rsidRDefault="0001065E" w:rsidP="00D028CC">
      <w:pPr>
        <w:sectPr w:rsidR="0001065E" w:rsidSect="00FD5167">
          <w:headerReference w:type="default" r:id="rId12"/>
          <w:footerReference w:type="first" r:id="rId13"/>
          <w:pgSz w:w="12240" w:h="15840" w:code="1"/>
          <w:pgMar w:top="720" w:right="720" w:bottom="720" w:left="720" w:header="288" w:footer="0" w:gutter="0"/>
          <w:cols w:space="720"/>
          <w:titlePg/>
          <w:docGrid w:linePitch="360"/>
        </w:sectPr>
      </w:pPr>
    </w:p>
    <w:p w:rsidR="00217A7B" w:rsidRPr="00A86520" w:rsidRDefault="00D63681" w:rsidP="00DA6FDA">
      <w:pPr>
        <w:spacing w:before="240" w:after="360"/>
        <w:rPr>
          <w:rFonts w:ascii="Rockwell" w:hAnsi="Rockwell"/>
          <w:b/>
          <w:sz w:val="36"/>
          <w:szCs w:val="36"/>
          <w:lang w:val="es-MX"/>
        </w:rPr>
      </w:pPr>
      <w:r w:rsidRPr="00A86520">
        <w:rPr>
          <w:rFonts w:ascii="Rockwell" w:hAnsi="Rockwell"/>
          <w:b/>
          <w:sz w:val="36"/>
          <w:szCs w:val="36"/>
          <w:lang w:val="es-MX"/>
        </w:rPr>
        <w:lastRenderedPageBreak/>
        <w:t xml:space="preserve">Informe de Equipo de </w:t>
      </w:r>
      <w:r w:rsidR="00A2205C" w:rsidRPr="00A86520">
        <w:rPr>
          <w:rFonts w:ascii="Rockwell" w:hAnsi="Rockwell"/>
          <w:b/>
          <w:sz w:val="36"/>
          <w:szCs w:val="36"/>
          <w:lang w:val="es-MX"/>
        </w:rPr>
        <w:t>Acción</w:t>
      </w:r>
      <w:r w:rsidRPr="00A86520">
        <w:rPr>
          <w:rFonts w:ascii="Rockwell" w:hAnsi="Rockwell"/>
          <w:b/>
          <w:sz w:val="36"/>
          <w:szCs w:val="36"/>
          <w:lang w:val="es-MX"/>
        </w:rPr>
        <w:t xml:space="preserve"> </w:t>
      </w:r>
      <w:r w:rsidR="006D5C3F" w:rsidRPr="00A86520">
        <w:rPr>
          <w:rFonts w:ascii="Rockwell" w:hAnsi="Rockwell"/>
          <w:b/>
          <w:sz w:val="36"/>
          <w:szCs w:val="36"/>
          <w:lang w:val="es-MX"/>
        </w:rPr>
        <w:t xml:space="preserve">– </w:t>
      </w:r>
      <w:r w:rsidRPr="00A86520">
        <w:rPr>
          <w:rFonts w:ascii="Rockwell" w:hAnsi="Rockwell"/>
          <w:b/>
          <w:sz w:val="36"/>
          <w:szCs w:val="36"/>
          <w:lang w:val="es-MX"/>
        </w:rPr>
        <w:t>Salud</w:t>
      </w:r>
    </w:p>
    <w:p w:rsidR="001D3496" w:rsidRPr="005D2921" w:rsidRDefault="00D63681" w:rsidP="00D420D7">
      <w:pPr>
        <w:spacing w:before="240"/>
        <w:rPr>
          <w:rFonts w:ascii="Rockwell" w:hAnsi="Rockwell"/>
          <w:sz w:val="22"/>
          <w:u w:val="single"/>
          <w:lang w:val="es-MX"/>
        </w:rPr>
      </w:pPr>
      <w:r w:rsidRPr="00A86520">
        <w:rPr>
          <w:rFonts w:ascii="Rockwell" w:hAnsi="Rockwell"/>
          <w:sz w:val="22"/>
          <w:lang w:val="es-MX"/>
        </w:rPr>
        <w:t>Mes</w:t>
      </w:r>
      <w:r w:rsidR="001D3496" w:rsidRPr="00A86520">
        <w:rPr>
          <w:rFonts w:ascii="Rockwell" w:hAnsi="Rockwell"/>
          <w:sz w:val="22"/>
          <w:lang w:val="es-MX"/>
        </w:rPr>
        <w:t xml:space="preserve">: </w:t>
      </w:r>
      <w:r w:rsidR="006C6E9C" w:rsidRPr="00A86520">
        <w:rPr>
          <w:rFonts w:ascii="Rockwell" w:hAnsi="Rockwell"/>
          <w:sz w:val="22"/>
          <w:u w:val="single"/>
          <w:lang w:val="es-MX"/>
        </w:rPr>
        <w:t xml:space="preserve">  24</w:t>
      </w:r>
      <w:r w:rsidRPr="00A86520">
        <w:rPr>
          <w:rFonts w:ascii="Rockwell" w:hAnsi="Rockwell"/>
          <w:sz w:val="22"/>
          <w:u w:val="single"/>
          <w:lang w:val="es-MX"/>
        </w:rPr>
        <w:t xml:space="preserve"> de abril de</w:t>
      </w:r>
      <w:r w:rsidR="009D423F" w:rsidRPr="00A86520">
        <w:rPr>
          <w:rFonts w:ascii="Rockwell" w:hAnsi="Rockwell"/>
          <w:sz w:val="22"/>
          <w:u w:val="single"/>
          <w:lang w:val="es-MX"/>
        </w:rPr>
        <w:t xml:space="preserve"> 2014</w:t>
      </w:r>
      <w:r w:rsidR="009D423F" w:rsidRPr="00A86520">
        <w:rPr>
          <w:rFonts w:ascii="Rockwell" w:hAnsi="Rockwell"/>
          <w:sz w:val="22"/>
          <w:u w:val="single"/>
          <w:lang w:val="es-MX"/>
        </w:rPr>
        <w:tab/>
      </w:r>
      <w:r w:rsidR="001D3496" w:rsidRPr="00A86520">
        <w:rPr>
          <w:rFonts w:ascii="Rockwell" w:hAnsi="Rockwell"/>
          <w:sz w:val="22"/>
          <w:lang w:val="es-MX"/>
        </w:rPr>
        <w:tab/>
      </w:r>
      <w:r w:rsidRPr="00A86520">
        <w:rPr>
          <w:rFonts w:ascii="Rockwell" w:hAnsi="Rockwell"/>
          <w:sz w:val="22"/>
          <w:lang w:val="es-MX"/>
        </w:rPr>
        <w:t>Presentado</w:t>
      </w:r>
      <w:r w:rsidR="001D3496" w:rsidRPr="00A86520">
        <w:rPr>
          <w:rFonts w:ascii="Rockwell" w:hAnsi="Rockwell"/>
          <w:sz w:val="22"/>
          <w:lang w:val="es-MX"/>
        </w:rPr>
        <w:t xml:space="preserve"> </w:t>
      </w:r>
      <w:r w:rsidRPr="00A86520">
        <w:rPr>
          <w:rFonts w:ascii="Rockwell" w:hAnsi="Rockwell"/>
          <w:sz w:val="22"/>
          <w:lang w:val="es-MX"/>
        </w:rPr>
        <w:t>por</w:t>
      </w:r>
      <w:r w:rsidR="001D3496" w:rsidRPr="00A86520">
        <w:rPr>
          <w:rFonts w:ascii="Rockwell" w:hAnsi="Rockwell"/>
          <w:sz w:val="22"/>
          <w:lang w:val="es-MX"/>
        </w:rPr>
        <w:t xml:space="preserve">: </w:t>
      </w:r>
      <w:r w:rsidR="00A2205C" w:rsidRPr="00A86520">
        <w:rPr>
          <w:rFonts w:ascii="Rockwell" w:hAnsi="Rockwell"/>
          <w:sz w:val="22"/>
          <w:u w:val="single"/>
          <w:lang w:val="es-MX"/>
        </w:rPr>
        <w:t xml:space="preserve">  Bill Phelps, Copresidente</w:t>
      </w:r>
      <w:r w:rsidR="009D423F" w:rsidRPr="005D2921">
        <w:rPr>
          <w:rFonts w:ascii="Rockwell" w:hAnsi="Rockwell"/>
          <w:sz w:val="22"/>
          <w:u w:val="single"/>
          <w:lang w:val="es-MX"/>
        </w:rPr>
        <w:tab/>
      </w:r>
      <w:r w:rsidR="009D423F" w:rsidRPr="005D2921">
        <w:rPr>
          <w:rFonts w:ascii="Rockwell" w:hAnsi="Rockwell"/>
          <w:sz w:val="22"/>
          <w:u w:val="single"/>
          <w:lang w:val="es-MX"/>
        </w:rPr>
        <w:tab/>
      </w:r>
      <w:r w:rsidR="009D423F" w:rsidRPr="005D2921">
        <w:rPr>
          <w:rFonts w:ascii="Rockwell" w:hAnsi="Rockwell"/>
          <w:sz w:val="22"/>
          <w:u w:val="single"/>
          <w:lang w:val="es-MX"/>
        </w:rPr>
        <w:tab/>
      </w:r>
    </w:p>
    <w:p w:rsidR="001E1FDE" w:rsidRPr="00A86520" w:rsidRDefault="001E1FDE" w:rsidP="001E1FDE">
      <w:pPr>
        <w:spacing w:before="240" w:after="0"/>
        <w:rPr>
          <w:rFonts w:ascii="Rockwell" w:hAnsi="Rockwell"/>
          <w:sz w:val="22"/>
          <w:lang w:val="es-MX"/>
        </w:rPr>
      </w:pPr>
      <w:r w:rsidRPr="00A86520">
        <w:rPr>
          <w:rFonts w:ascii="Rockwell" w:hAnsi="Rockwell"/>
          <w:sz w:val="22"/>
          <w:lang w:val="es-MX"/>
        </w:rPr>
        <w:t>Breve Resumen de la Reunión y el Trabajo del Equipo de Acción (200 palabras o menos)</w:t>
      </w:r>
    </w:p>
    <w:p w:rsidR="001E1FDE" w:rsidRPr="00A86520" w:rsidRDefault="001E1FDE" w:rsidP="001E1FDE">
      <w:pPr>
        <w:rPr>
          <w:rFonts w:ascii="Rockwell" w:hAnsi="Rockwell"/>
          <w:i/>
          <w:sz w:val="22"/>
          <w:lang w:val="es-MX"/>
        </w:rPr>
      </w:pPr>
      <w:r w:rsidRPr="00A86520">
        <w:rPr>
          <w:rFonts w:ascii="Rockwell" w:hAnsi="Rockwell"/>
          <w:i/>
          <w:sz w:val="22"/>
          <w:lang w:val="es-MX"/>
        </w:rPr>
        <w:t xml:space="preserve">Incluya lo más destacado/logros o retos. </w:t>
      </w:r>
    </w:p>
    <w:p w:rsidR="002A6149" w:rsidRPr="00A86520" w:rsidRDefault="002A6149" w:rsidP="002A6149">
      <w:pPr>
        <w:rPr>
          <w:rFonts w:ascii="Calibri" w:hAnsi="Calibri" w:cs="Calibri"/>
          <w:sz w:val="20"/>
          <w:szCs w:val="20"/>
          <w:u w:val="single"/>
          <w:lang w:val="es-MX"/>
        </w:rPr>
      </w:pPr>
      <w:r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Continuamos </w:t>
      </w:r>
      <w:r w:rsidR="00AB2BDA"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hablando acerca de </w:t>
      </w:r>
      <w:r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 los planes para un foro sobre el acceso a servicios de emergencia en el sur de Kern </w:t>
      </w:r>
      <w:r w:rsidR="00185983" w:rsidRPr="00A86520">
        <w:rPr>
          <w:rFonts w:ascii="Calibri" w:hAnsi="Calibri" w:cs="Calibri"/>
          <w:sz w:val="20"/>
          <w:szCs w:val="20"/>
          <w:u w:val="single"/>
          <w:lang w:val="es-MX"/>
        </w:rPr>
        <w:t>a realizarse en</w:t>
      </w:r>
      <w:r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 septiembre u octubre de 2014</w:t>
      </w:r>
      <w:r w:rsidR="00185983"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, </w:t>
      </w:r>
      <w:r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 </w:t>
      </w:r>
      <w:r w:rsidR="00AB2BDA" w:rsidRPr="00A86520">
        <w:rPr>
          <w:rFonts w:ascii="Calibri" w:hAnsi="Calibri" w:cs="Calibri"/>
          <w:sz w:val="20"/>
          <w:szCs w:val="20"/>
          <w:u w:val="single"/>
          <w:lang w:val="es-MX"/>
        </w:rPr>
        <w:t>que</w:t>
      </w:r>
      <w:r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 </w:t>
      </w:r>
      <w:r w:rsidR="00AB2BDA" w:rsidRPr="00A86520">
        <w:rPr>
          <w:rFonts w:ascii="Calibri" w:hAnsi="Calibri" w:cs="Calibri"/>
          <w:sz w:val="20"/>
          <w:szCs w:val="20"/>
          <w:u w:val="single"/>
          <w:lang w:val="es-MX"/>
        </w:rPr>
        <w:t>probablemente se celebrará en Arvin</w:t>
      </w:r>
      <w:r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. </w:t>
      </w:r>
      <w:r w:rsidR="00A17AD8" w:rsidRPr="00A86520">
        <w:rPr>
          <w:rFonts w:ascii="Calibri" w:hAnsi="Calibri" w:cs="Calibri"/>
          <w:sz w:val="20"/>
          <w:szCs w:val="20"/>
          <w:u w:val="single"/>
          <w:lang w:val="es-MX"/>
        </w:rPr>
        <w:t>Formaremos</w:t>
      </w:r>
      <w:r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 un comité ad hoc para planear el evento. Bill P. </w:t>
      </w:r>
      <w:r w:rsidR="00AB2BDA"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propondrá </w:t>
      </w:r>
      <w:r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posibles fechas </w:t>
      </w:r>
      <w:r w:rsidR="00AB2BDA"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para </w:t>
      </w:r>
      <w:r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 las reuniones. Hablamos </w:t>
      </w:r>
      <w:r w:rsidR="00B13D7F"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a cerca de los números de difusión e inscripción </w:t>
      </w:r>
      <w:r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y nuestros esfuerzos </w:t>
      </w:r>
      <w:r w:rsidR="00B13D7F"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combinados </w:t>
      </w:r>
      <w:r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resultó en cerca de 4.000 </w:t>
      </w:r>
      <w:r w:rsidR="00B13D7F" w:rsidRPr="00A86520">
        <w:rPr>
          <w:rFonts w:ascii="Calibri" w:hAnsi="Calibri" w:cs="Calibri"/>
          <w:sz w:val="20"/>
          <w:szCs w:val="20"/>
          <w:u w:val="single"/>
          <w:lang w:val="es-MX"/>
        </w:rPr>
        <w:t>solicitudes</w:t>
      </w:r>
      <w:r w:rsidRPr="00A86520">
        <w:rPr>
          <w:rFonts w:ascii="Calibri" w:hAnsi="Calibri" w:cs="Calibri"/>
          <w:sz w:val="20"/>
          <w:szCs w:val="20"/>
          <w:u w:val="single"/>
          <w:lang w:val="es-MX"/>
        </w:rPr>
        <w:t>.</w:t>
      </w:r>
    </w:p>
    <w:p w:rsidR="000A36A3" w:rsidRPr="00A86520" w:rsidRDefault="00497485" w:rsidP="00A634BB">
      <w:pPr>
        <w:rPr>
          <w:rFonts w:ascii="Rockwell" w:hAnsi="Rockwell"/>
          <w:sz w:val="22"/>
          <w:lang w:val="es-MX"/>
        </w:rPr>
      </w:pPr>
      <w:r w:rsidRPr="00A86520">
        <w:rPr>
          <w:rFonts w:ascii="Rockwell" w:hAnsi="Rockwell"/>
          <w:sz w:val="22"/>
          <w:lang w:val="es-MX"/>
        </w:rPr>
        <w:t>Conclusiones o necesidades relacionadas con la Comunicación o la Evaluación/Aprendizaje</w:t>
      </w:r>
    </w:p>
    <w:p w:rsidR="006D5C3F" w:rsidRPr="00704623" w:rsidRDefault="009C50E6" w:rsidP="00704623">
      <w:pPr>
        <w:rPr>
          <w:rFonts w:ascii="Calibri" w:hAnsi="Calibri" w:cs="Calibri"/>
          <w:sz w:val="20"/>
          <w:szCs w:val="20"/>
          <w:u w:val="single"/>
          <w:lang w:val="es-MX"/>
        </w:rPr>
      </w:pPr>
      <w:r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Vamos a necesitar un poco de ayuda con la planificación de un foro comunitario </w:t>
      </w:r>
      <w:r w:rsidR="00A634BB" w:rsidRPr="00A86520">
        <w:rPr>
          <w:rFonts w:ascii="Calibri" w:hAnsi="Calibri" w:cs="Calibri"/>
          <w:sz w:val="20"/>
          <w:szCs w:val="20"/>
          <w:u w:val="single"/>
          <w:lang w:val="es-MX"/>
        </w:rPr>
        <w:t>a realizarse</w:t>
      </w:r>
      <w:r w:rsidRPr="00A86520">
        <w:rPr>
          <w:rFonts w:ascii="Calibri" w:hAnsi="Calibri" w:cs="Calibri"/>
          <w:sz w:val="20"/>
          <w:szCs w:val="20"/>
          <w:u w:val="single"/>
          <w:lang w:val="es-MX"/>
        </w:rPr>
        <w:t xml:space="preserve"> este otoño.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870"/>
        <w:gridCol w:w="6390"/>
      </w:tblGrid>
      <w:tr w:rsidR="001D3496" w:rsidRPr="005D2921" w:rsidTr="007E1CBA">
        <w:tc>
          <w:tcPr>
            <w:tcW w:w="3870" w:type="dxa"/>
            <w:shd w:val="clear" w:color="auto" w:fill="000000" w:themeFill="text1"/>
          </w:tcPr>
          <w:p w:rsidR="001D3496" w:rsidRPr="001D3496" w:rsidRDefault="001E1FDE" w:rsidP="00831A90">
            <w:pPr>
              <w:spacing w:after="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C03D5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MX"/>
              </w:rPr>
              <w:t>Resultado de 201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MX"/>
              </w:rPr>
              <w:t>4</w:t>
            </w:r>
          </w:p>
        </w:tc>
        <w:tc>
          <w:tcPr>
            <w:tcW w:w="6390" w:type="dxa"/>
            <w:shd w:val="clear" w:color="auto" w:fill="000000" w:themeFill="text1"/>
          </w:tcPr>
          <w:p w:rsidR="001E1FDE" w:rsidRPr="00EC03D5" w:rsidRDefault="001E1FDE" w:rsidP="001E1FDE">
            <w:pPr>
              <w:spacing w:after="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EC03D5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MX"/>
              </w:rPr>
              <w:t>Resumen de Trabajo y Progreso</w:t>
            </w:r>
          </w:p>
          <w:p w:rsidR="001D3496" w:rsidRPr="005D2921" w:rsidRDefault="001E1FDE" w:rsidP="001E1FDE">
            <w:pPr>
              <w:spacing w:after="0"/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:lang w:val="es-MX"/>
              </w:rPr>
              <w:t>Incluya el nú</w:t>
            </w:r>
            <w:r w:rsidRPr="00EC03D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:lang w:val="es-MX"/>
              </w:rPr>
              <w:t>mero nuevo/total y detalles acerca de progreso de trabajo</w:t>
            </w:r>
          </w:p>
        </w:tc>
      </w:tr>
      <w:tr w:rsidR="006D5C3F" w:rsidRPr="005D2921" w:rsidTr="007E1CBA">
        <w:tc>
          <w:tcPr>
            <w:tcW w:w="3870" w:type="dxa"/>
            <w:vAlign w:val="center"/>
          </w:tcPr>
          <w:p w:rsidR="0044532B" w:rsidRPr="005D2921" w:rsidRDefault="0044532B" w:rsidP="006B0F85">
            <w:pPr>
              <w:spacing w:after="60"/>
              <w:contextualSpacing/>
              <w:rPr>
                <w:rFonts w:ascii="Calibri" w:hAnsi="Calibri"/>
                <w:sz w:val="20"/>
                <w:szCs w:val="20"/>
                <w:lang w:val="es-MX"/>
              </w:rPr>
            </w:pP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Continuar la asociación con los residentes y socios de la comunidad para aumentar </w:t>
            </w:r>
            <w:r w:rsidR="006B0F85">
              <w:rPr>
                <w:rFonts w:ascii="Calibri" w:hAnsi="Calibri" w:cs="Calibri"/>
                <w:sz w:val="20"/>
                <w:szCs w:val="20"/>
                <w:lang w:val="es-MX"/>
              </w:rPr>
              <w:t xml:space="preserve">por 1.500 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el número de residentes del sur de Kern </w:t>
            </w:r>
            <w:r w:rsidR="001025ED"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de nueva </w:t>
            </w:r>
            <w:r w:rsidR="005A5D1A" w:rsidRPr="00A86520">
              <w:rPr>
                <w:rFonts w:ascii="Calibri" w:hAnsi="Calibri" w:cs="Calibri"/>
                <w:sz w:val="20"/>
                <w:szCs w:val="20"/>
                <w:lang w:val="es-MX"/>
              </w:rPr>
              <w:t>inscripción</w:t>
            </w:r>
            <w:r w:rsidR="00737BEA"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en </w:t>
            </w:r>
            <w:r w:rsidR="00737BEA" w:rsidRPr="00A86520">
              <w:rPr>
                <w:rFonts w:ascii="Calibri" w:hAnsi="Calibri" w:cs="Calibri"/>
                <w:sz w:val="20"/>
                <w:szCs w:val="20"/>
                <w:lang w:val="es-MX"/>
              </w:rPr>
              <w:t>un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seguro </w:t>
            </w:r>
            <w:r w:rsidR="00364C05" w:rsidRPr="00A86520">
              <w:rPr>
                <w:rFonts w:ascii="Calibri" w:hAnsi="Calibri" w:cs="Calibri"/>
                <w:sz w:val="20"/>
                <w:szCs w:val="20"/>
                <w:lang w:val="es-MX"/>
              </w:rPr>
              <w:t>mé</w:t>
            </w:r>
            <w:r w:rsidR="00737BEA" w:rsidRPr="00A86520">
              <w:rPr>
                <w:rFonts w:ascii="Calibri" w:hAnsi="Calibri" w:cs="Calibri"/>
                <w:sz w:val="20"/>
                <w:szCs w:val="20"/>
                <w:lang w:val="es-MX"/>
              </w:rPr>
              <w:t>dico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>.</w:t>
            </w:r>
          </w:p>
        </w:tc>
        <w:tc>
          <w:tcPr>
            <w:tcW w:w="6390" w:type="dxa"/>
          </w:tcPr>
          <w:p w:rsidR="005008BE" w:rsidRPr="005D2921" w:rsidRDefault="005008BE" w:rsidP="001025ED">
            <w:pPr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Cerca de 4.000 </w:t>
            </w:r>
            <w:r w:rsidR="00696799" w:rsidRPr="00A86520">
              <w:rPr>
                <w:rFonts w:ascii="Calibri" w:hAnsi="Calibri" w:cs="Calibri"/>
                <w:sz w:val="20"/>
                <w:szCs w:val="20"/>
                <w:lang w:val="es-MX"/>
              </w:rPr>
              <w:t>solicitudes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>Medi</w:t>
            </w:r>
            <w:proofErr w:type="spellEnd"/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-Cal y </w:t>
            </w:r>
            <w:proofErr w:type="spellStart"/>
            <w:r w:rsidR="00696799" w:rsidRPr="00A86520">
              <w:rPr>
                <w:rFonts w:ascii="Calibri" w:hAnsi="Calibri" w:cs="Calibri"/>
                <w:sz w:val="20"/>
                <w:szCs w:val="20"/>
                <w:lang w:val="es-MX"/>
              </w:rPr>
              <w:t>Covered</w:t>
            </w:r>
            <w:proofErr w:type="spellEnd"/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Califo</w:t>
            </w:r>
            <w:r w:rsidR="00696799" w:rsidRPr="00A86520">
              <w:rPr>
                <w:rFonts w:ascii="Calibri" w:hAnsi="Calibri" w:cs="Calibri"/>
                <w:sz w:val="20"/>
                <w:szCs w:val="20"/>
                <w:lang w:val="es-MX"/>
              </w:rPr>
              <w:t>rnia fueron presentados por las agencias socias</w:t>
            </w:r>
            <w:r w:rsidR="00F24852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entre </w:t>
            </w:r>
            <w:r w:rsidR="001025ED"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1/10/13 y 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>31</w:t>
            </w:r>
            <w:r w:rsidR="001025ED" w:rsidRPr="00A86520">
              <w:rPr>
                <w:rFonts w:ascii="Calibri" w:hAnsi="Calibri" w:cs="Calibri"/>
                <w:sz w:val="20"/>
                <w:szCs w:val="20"/>
                <w:lang w:val="es-MX"/>
              </w:rPr>
              <w:t>/3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/14. </w:t>
            </w:r>
            <w:r w:rsidR="001025ED" w:rsidRPr="00A86520">
              <w:rPr>
                <w:rFonts w:ascii="Calibri" w:hAnsi="Calibri" w:cs="Calibri"/>
                <w:sz w:val="20"/>
                <w:szCs w:val="20"/>
                <w:lang w:val="es-MX"/>
              </w:rPr>
              <w:t>H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>emos superado</w:t>
            </w:r>
            <w:r w:rsidR="001025ED"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por un gran número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la m</w:t>
            </w:r>
            <w:r w:rsidR="005A5D1A" w:rsidRPr="00A86520">
              <w:rPr>
                <w:rFonts w:ascii="Calibri" w:hAnsi="Calibri" w:cs="Calibri"/>
                <w:sz w:val="20"/>
                <w:szCs w:val="20"/>
                <w:lang w:val="es-MX"/>
              </w:rPr>
              <w:t>eta de 1.500 residentes de nueva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="001025ED" w:rsidRPr="00A86520">
              <w:rPr>
                <w:rFonts w:ascii="Calibri" w:hAnsi="Calibri" w:cs="Calibri"/>
                <w:sz w:val="20"/>
                <w:szCs w:val="20"/>
                <w:lang w:val="es-MX"/>
              </w:rPr>
              <w:t>inscripción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>.</w:t>
            </w:r>
          </w:p>
        </w:tc>
      </w:tr>
      <w:tr w:rsidR="006D5C3F" w:rsidRPr="005D2921" w:rsidTr="007E1CBA">
        <w:tc>
          <w:tcPr>
            <w:tcW w:w="3870" w:type="dxa"/>
            <w:vAlign w:val="center"/>
          </w:tcPr>
          <w:p w:rsidR="0044532B" w:rsidRPr="005D2921" w:rsidRDefault="0044532B" w:rsidP="00555D26">
            <w:pPr>
              <w:spacing w:after="60"/>
              <w:contextualSpacing/>
              <w:rPr>
                <w:rFonts w:ascii="Calibri" w:hAnsi="Calibri"/>
                <w:sz w:val="20"/>
                <w:szCs w:val="20"/>
                <w:lang w:val="es-MX"/>
              </w:rPr>
            </w:pP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Establecer prácticas de atención </w:t>
            </w:r>
            <w:r w:rsidR="00287426">
              <w:rPr>
                <w:rFonts w:ascii="Calibri" w:hAnsi="Calibri" w:cs="Calibri"/>
                <w:sz w:val="20"/>
                <w:szCs w:val="20"/>
                <w:lang w:val="es-MX"/>
              </w:rPr>
              <w:t xml:space="preserve">de cuidado de salud 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>centradas en la familia en tres clínicas locales.</w:t>
            </w:r>
          </w:p>
        </w:tc>
        <w:tc>
          <w:tcPr>
            <w:tcW w:w="6390" w:type="dxa"/>
          </w:tcPr>
          <w:p w:rsidR="005008BE" w:rsidRPr="005D2921" w:rsidRDefault="005008BE" w:rsidP="00A3766E">
            <w:pPr>
              <w:spacing w:after="0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CSV continúa </w:t>
            </w:r>
            <w:r w:rsidR="00F945C7"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buscando la acreditación de Hogar Médico Centrado en el Paciente 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a través de </w:t>
            </w:r>
            <w:proofErr w:type="spellStart"/>
            <w:r w:rsidR="00F945C7" w:rsidRPr="00A86520">
              <w:rPr>
                <w:rFonts w:ascii="Calibri" w:hAnsi="Calibri" w:cs="Calibri"/>
                <w:sz w:val="20"/>
                <w:szCs w:val="20"/>
                <w:lang w:val="es-MX"/>
              </w:rPr>
              <w:t>Joint</w:t>
            </w:r>
            <w:proofErr w:type="spellEnd"/>
            <w:r w:rsidR="00F945C7"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945C7" w:rsidRPr="00A86520">
              <w:rPr>
                <w:rFonts w:ascii="Calibri" w:hAnsi="Calibri" w:cs="Calibri"/>
                <w:sz w:val="20"/>
                <w:szCs w:val="20"/>
                <w:lang w:val="es-MX"/>
              </w:rPr>
              <w:t>Commission</w:t>
            </w:r>
            <w:proofErr w:type="spellEnd"/>
            <w:r w:rsidR="00F945C7"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 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y </w:t>
            </w:r>
            <w:r w:rsidR="00F945C7" w:rsidRPr="005D2921">
              <w:rPr>
                <w:rFonts w:ascii="Calibri" w:hAnsi="Calibri" w:cs="Calibri"/>
                <w:sz w:val="20"/>
                <w:szCs w:val="20"/>
                <w:lang w:val="es-MX"/>
              </w:rPr>
              <w:t>National Center on Quality Assurance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="00F945C7" w:rsidRPr="00A86520">
              <w:rPr>
                <w:rFonts w:ascii="Calibri" w:hAnsi="Calibri" w:cs="Calibri"/>
                <w:sz w:val="20"/>
                <w:szCs w:val="20"/>
                <w:lang w:val="es-MX"/>
              </w:rPr>
              <w:t>durante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los próximos años.</w:t>
            </w:r>
          </w:p>
        </w:tc>
      </w:tr>
      <w:tr w:rsidR="006D5C3F" w:rsidTr="007E1CBA">
        <w:tc>
          <w:tcPr>
            <w:tcW w:w="3870" w:type="dxa"/>
            <w:vAlign w:val="center"/>
          </w:tcPr>
          <w:p w:rsidR="0044532B" w:rsidRPr="005D2921" w:rsidRDefault="0044532B" w:rsidP="00EB6735">
            <w:pPr>
              <w:spacing w:after="60"/>
              <w:contextualSpacing/>
              <w:rPr>
                <w:rFonts w:ascii="Calibri" w:hAnsi="Calibri"/>
                <w:sz w:val="20"/>
                <w:szCs w:val="20"/>
                <w:lang w:val="es-MX"/>
              </w:rPr>
            </w:pP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>Aumentar la disponibilidad y la integración de ser</w:t>
            </w:r>
            <w:r w:rsidR="00354939"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vicios de salud a través de espacios 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no tradicionales, incluyendo: escuelas; clínicas móviles; y los proveedores no tradicionales y </w:t>
            </w:r>
            <w:r w:rsidR="00EB6735" w:rsidRPr="00A86520">
              <w:rPr>
                <w:rFonts w:ascii="Calibri" w:hAnsi="Calibri" w:cs="Calibri"/>
                <w:sz w:val="20"/>
                <w:szCs w:val="20"/>
                <w:lang w:val="es-MX"/>
              </w:rPr>
              <w:t>apoyos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="00EB6735" w:rsidRPr="00A86520">
              <w:rPr>
                <w:rFonts w:ascii="Calibri" w:hAnsi="Calibri" w:cs="Calibri"/>
                <w:sz w:val="20"/>
                <w:szCs w:val="20"/>
                <w:lang w:val="es-MX"/>
              </w:rPr>
              <w:t>tales como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pasantes</w:t>
            </w:r>
            <w:r w:rsidRPr="005D2921">
              <w:rPr>
                <w:rFonts w:ascii="Calibri" w:hAnsi="Calibri"/>
                <w:sz w:val="20"/>
                <w:szCs w:val="20"/>
                <w:lang w:val="es-MX"/>
              </w:rPr>
              <w:t>.</w:t>
            </w:r>
          </w:p>
        </w:tc>
        <w:tc>
          <w:tcPr>
            <w:tcW w:w="6390" w:type="dxa"/>
          </w:tcPr>
          <w:p w:rsidR="005008BE" w:rsidRPr="00A86520" w:rsidRDefault="005008BE" w:rsidP="00F24852">
            <w:pPr>
              <w:spacing w:after="0"/>
              <w:rPr>
                <w:rFonts w:ascii="Calibri" w:hAnsi="Calibri" w:cs="Calibri"/>
                <w:sz w:val="20"/>
                <w:szCs w:val="20"/>
                <w:lang w:val="es-MX"/>
              </w:rPr>
            </w:pPr>
            <w:proofErr w:type="spellStart"/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>Debbie</w:t>
            </w:r>
            <w:proofErr w:type="spellEnd"/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W. compartió varios ejemplos de cómo el papel de la enfermera de la escuela se está </w:t>
            </w:r>
            <w:r w:rsidR="00B41B32">
              <w:rPr>
                <w:rFonts w:ascii="Calibri" w:hAnsi="Calibri" w:cs="Calibri"/>
                <w:sz w:val="20"/>
                <w:szCs w:val="20"/>
                <w:lang w:val="es-MX"/>
              </w:rPr>
              <w:t>ampliando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para ofrecer más servicios de sal</w:t>
            </w:r>
            <w:r w:rsidR="00E75508"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ud en el ámbito escolar para el manejo 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de enfermedades crónicas de los estudiantes. También mencionó los servicios anuales de atención oftalmológica que se ofrecen a las escuelas en todo el condado. Bill P. mencionó que una de las unidades médicas / dentales móviles restauradas </w:t>
            </w:r>
            <w:r w:rsidR="005751D7" w:rsidRPr="00A86520">
              <w:rPr>
                <w:rFonts w:ascii="Calibri" w:hAnsi="Calibri" w:cs="Calibri"/>
                <w:sz w:val="20"/>
                <w:szCs w:val="20"/>
                <w:lang w:val="es-MX"/>
              </w:rPr>
              <w:t>de CSV está de vuelta en el c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ondado de Kern. El otro </w:t>
            </w:r>
            <w:r w:rsidR="005751D7"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regresara 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>el próximo mes.</w:t>
            </w:r>
          </w:p>
        </w:tc>
      </w:tr>
      <w:tr w:rsidR="006D5C3F" w:rsidTr="007E1CBA">
        <w:tc>
          <w:tcPr>
            <w:tcW w:w="3870" w:type="dxa"/>
            <w:vAlign w:val="center"/>
          </w:tcPr>
          <w:p w:rsidR="0044532B" w:rsidRPr="005D2921" w:rsidRDefault="0044532B" w:rsidP="00777109">
            <w:pPr>
              <w:spacing w:after="60"/>
              <w:contextualSpacing/>
              <w:rPr>
                <w:rFonts w:ascii="Calibri" w:hAnsi="Calibri"/>
                <w:sz w:val="19"/>
                <w:szCs w:val="19"/>
                <w:lang w:val="es-MX"/>
              </w:rPr>
            </w:pPr>
            <w:bookmarkStart w:id="0" w:name="_GoBack"/>
            <w:r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Crear una cultura de prevención entre el 100% de los socios comunitarios </w:t>
            </w:r>
            <w:r w:rsidR="00777109" w:rsidRPr="005D2921">
              <w:rPr>
                <w:rFonts w:ascii="Calibri" w:hAnsi="Calibri" w:cs="Calibri"/>
                <w:sz w:val="19"/>
                <w:szCs w:val="19"/>
                <w:lang w:val="es-MX"/>
              </w:rPr>
              <w:t>de CCS</w:t>
            </w:r>
            <w:r w:rsidRPr="005D2921">
              <w:rPr>
                <w:rFonts w:ascii="Calibri" w:hAnsi="Calibri" w:cs="Calibri"/>
                <w:sz w:val="19"/>
                <w:szCs w:val="19"/>
                <w:lang w:val="es-MX"/>
              </w:rPr>
              <w:t>-SK mediante la integración</w:t>
            </w:r>
            <w:r w:rsidR="00073894"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 de la educación sobre el uso apropiado de </w:t>
            </w:r>
            <w:r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cuidado </w:t>
            </w:r>
            <w:r w:rsidR="00777109" w:rsidRPr="005D2921">
              <w:rPr>
                <w:rFonts w:ascii="Calibri" w:hAnsi="Calibri" w:cs="Calibri"/>
                <w:sz w:val="19"/>
                <w:szCs w:val="19"/>
                <w:lang w:val="es-MX"/>
              </w:rPr>
              <w:t>de urgencia</w:t>
            </w:r>
            <w:r w:rsidR="00073894" w:rsidRPr="005D2921">
              <w:rPr>
                <w:rFonts w:ascii="Calibri" w:hAnsi="Calibri" w:cs="Calibri"/>
                <w:sz w:val="19"/>
                <w:szCs w:val="19"/>
                <w:lang w:val="es-MX"/>
              </w:rPr>
              <w:t>/</w:t>
            </w:r>
            <w:r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 emergencia como una práctica habitual durante la inscripción y los servicios de vinculación</w:t>
            </w:r>
            <w:r w:rsidRPr="005D2921">
              <w:rPr>
                <w:rFonts w:ascii="Calibri" w:hAnsi="Calibri"/>
                <w:sz w:val="19"/>
                <w:szCs w:val="19"/>
                <w:lang w:val="es-MX"/>
              </w:rPr>
              <w:t>.</w:t>
            </w:r>
            <w:bookmarkEnd w:id="0"/>
          </w:p>
        </w:tc>
        <w:tc>
          <w:tcPr>
            <w:tcW w:w="6390" w:type="dxa"/>
          </w:tcPr>
          <w:p w:rsidR="005008BE" w:rsidRPr="00A86520" w:rsidRDefault="005008BE" w:rsidP="00F24852">
            <w:pPr>
              <w:rPr>
                <w:rFonts w:ascii="Calibri" w:hAnsi="Calibri" w:cs="Calibri"/>
                <w:sz w:val="20"/>
                <w:szCs w:val="20"/>
              </w:rPr>
            </w:pP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>Seg</w:t>
            </w:r>
            <w:r w:rsidR="00F24852">
              <w:rPr>
                <w:rFonts w:ascii="Calibri" w:hAnsi="Calibri" w:cs="Calibri"/>
                <w:sz w:val="20"/>
                <w:szCs w:val="20"/>
                <w:lang w:val="es-MX"/>
              </w:rPr>
              <w:t xml:space="preserve">uimos discutiendo cómo pondremos 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en práctica un plan de educación durante el próximo período de inscripción abierta. </w:t>
            </w:r>
            <w:proofErr w:type="spellStart"/>
            <w:r w:rsidR="00F24852">
              <w:rPr>
                <w:rFonts w:ascii="Calibri" w:hAnsi="Calibri" w:cs="Calibri"/>
                <w:sz w:val="20"/>
                <w:szCs w:val="20"/>
                <w:lang w:val="es-MX"/>
              </w:rPr>
              <w:t>Dignity</w:t>
            </w:r>
            <w:proofErr w:type="spellEnd"/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está trabajando en un </w:t>
            </w:r>
            <w:r w:rsidR="0020639C" w:rsidRPr="00A86520">
              <w:rPr>
                <w:rFonts w:ascii="Calibri" w:hAnsi="Calibri" w:cs="Calibri"/>
                <w:sz w:val="20"/>
                <w:szCs w:val="20"/>
                <w:lang w:val="es-MX"/>
              </w:rPr>
              <w:t>volante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o folleto sobre la utilización adecuada de </w:t>
            </w:r>
            <w:r w:rsidR="0020639C" w:rsidRPr="00A86520">
              <w:rPr>
                <w:rFonts w:ascii="Calibri" w:hAnsi="Calibri" w:cs="Calibri"/>
                <w:sz w:val="20"/>
                <w:szCs w:val="20"/>
                <w:lang w:val="es-MX"/>
              </w:rPr>
              <w:t>visitas a la sala de emergencia/urgencias</w:t>
            </w:r>
            <w:r w:rsidR="00BB4C0B" w:rsidRPr="00A86520">
              <w:rPr>
                <w:rFonts w:ascii="Calibri" w:hAnsi="Calibri" w:cs="Calibri"/>
                <w:sz w:val="20"/>
                <w:szCs w:val="20"/>
                <w:lang w:val="es-MX"/>
              </w:rPr>
              <w:t>, con énfasis en el cuidado preventivo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>. GBLA tam</w:t>
            </w:r>
            <w:r w:rsidR="00F24852">
              <w:rPr>
                <w:rFonts w:ascii="Calibri" w:hAnsi="Calibri" w:cs="Calibri"/>
                <w:sz w:val="20"/>
                <w:szCs w:val="20"/>
                <w:lang w:val="es-MX"/>
              </w:rPr>
              <w:t xml:space="preserve">bién tiene material de recurso </w:t>
            </w:r>
            <w:r w:rsidRPr="00A86520">
              <w:rPr>
                <w:rFonts w:ascii="Calibri" w:hAnsi="Calibri" w:cs="Calibri"/>
                <w:sz w:val="20"/>
                <w:szCs w:val="20"/>
                <w:lang w:val="es-MX"/>
              </w:rPr>
              <w:t>para compartir.</w:t>
            </w:r>
          </w:p>
        </w:tc>
      </w:tr>
      <w:tr w:rsidR="006D5C3F" w:rsidRPr="005D2921" w:rsidTr="007E1CBA">
        <w:tc>
          <w:tcPr>
            <w:tcW w:w="3870" w:type="dxa"/>
            <w:vAlign w:val="center"/>
          </w:tcPr>
          <w:p w:rsidR="00733223" w:rsidRPr="005D2921" w:rsidRDefault="00A3766E" w:rsidP="00777109">
            <w:pPr>
              <w:spacing w:after="60"/>
              <w:contextualSpacing/>
              <w:rPr>
                <w:rFonts w:ascii="Calibri" w:hAnsi="Calibri"/>
                <w:sz w:val="19"/>
                <w:szCs w:val="19"/>
                <w:lang w:val="es-MX"/>
              </w:rPr>
            </w:pPr>
            <w:r w:rsidRPr="005D2921">
              <w:rPr>
                <w:rFonts w:ascii="Calibri" w:hAnsi="Calibri" w:cs="Calibri"/>
                <w:sz w:val="19"/>
                <w:szCs w:val="19"/>
                <w:lang w:val="es-MX"/>
              </w:rPr>
              <w:t>Abogar</w:t>
            </w:r>
            <w:r w:rsidR="00733223"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 </w:t>
            </w:r>
            <w:r w:rsidRPr="005D2921">
              <w:rPr>
                <w:rFonts w:ascii="Calibri" w:hAnsi="Calibri" w:cs="Calibri"/>
                <w:sz w:val="19"/>
                <w:szCs w:val="19"/>
                <w:lang w:val="es-MX"/>
              </w:rPr>
              <w:t>por</w:t>
            </w:r>
            <w:r w:rsidR="00733223"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 que los </w:t>
            </w:r>
            <w:r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líderes </w:t>
            </w:r>
            <w:r w:rsidR="00777109" w:rsidRPr="005D2921">
              <w:rPr>
                <w:rFonts w:ascii="Calibri" w:hAnsi="Calibri" w:cs="Calibri"/>
                <w:sz w:val="19"/>
                <w:szCs w:val="19"/>
                <w:lang w:val="es-MX"/>
              </w:rPr>
              <w:t>de</w:t>
            </w:r>
            <w:r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 gobierno local celebren </w:t>
            </w:r>
            <w:r w:rsidR="00733223"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un foro </w:t>
            </w:r>
            <w:r w:rsidR="002F1F9D"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comunitario sobre las </w:t>
            </w:r>
            <w:r w:rsidR="00733223"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necesidades de </w:t>
            </w:r>
            <w:r w:rsidR="002F1F9D" w:rsidRPr="005D2921">
              <w:rPr>
                <w:rFonts w:ascii="Calibri" w:hAnsi="Calibri" w:cs="Calibri"/>
                <w:sz w:val="19"/>
                <w:szCs w:val="19"/>
                <w:lang w:val="es-MX"/>
              </w:rPr>
              <w:t>cuidado de</w:t>
            </w:r>
            <w:r w:rsidR="00733223"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 </w:t>
            </w:r>
            <w:r w:rsidR="002F1F9D" w:rsidRPr="005D2921">
              <w:rPr>
                <w:rFonts w:ascii="Calibri" w:hAnsi="Calibri" w:cs="Calibri"/>
                <w:sz w:val="19"/>
                <w:szCs w:val="19"/>
                <w:lang w:val="es-MX"/>
              </w:rPr>
              <w:t>salud</w:t>
            </w:r>
            <w:r w:rsidR="00733223"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 de emergencia y los recursos en el sur de Kern.</w:t>
            </w:r>
          </w:p>
        </w:tc>
        <w:tc>
          <w:tcPr>
            <w:tcW w:w="6390" w:type="dxa"/>
          </w:tcPr>
          <w:p w:rsidR="005008BE" w:rsidRPr="005D2921" w:rsidRDefault="005008BE" w:rsidP="00F24852">
            <w:pPr>
              <w:rPr>
                <w:rFonts w:ascii="Calibri" w:hAnsi="Calibri" w:cs="Calibri"/>
                <w:sz w:val="19"/>
                <w:szCs w:val="19"/>
                <w:lang w:val="es-MX"/>
              </w:rPr>
            </w:pPr>
            <w:r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El Equipo de Acción </w:t>
            </w:r>
            <w:r w:rsidR="00A86520" w:rsidRPr="005D2921">
              <w:rPr>
                <w:rFonts w:ascii="Calibri" w:hAnsi="Calibri" w:cs="Calibri"/>
                <w:sz w:val="19"/>
                <w:szCs w:val="19"/>
                <w:lang w:val="es-MX"/>
              </w:rPr>
              <w:t>de</w:t>
            </w:r>
            <w:r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 Salud está avanzando en la creación de un foro </w:t>
            </w:r>
            <w:r w:rsidR="00F24852" w:rsidRPr="005D2921">
              <w:rPr>
                <w:rFonts w:ascii="Calibri" w:hAnsi="Calibri" w:cs="Calibri"/>
                <w:sz w:val="19"/>
                <w:szCs w:val="19"/>
                <w:lang w:val="es-MX"/>
              </w:rPr>
              <w:t>comunitario</w:t>
            </w:r>
            <w:r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 en torno a los servicios de emergencia en colaboración con </w:t>
            </w:r>
            <w:r w:rsidR="00A86520" w:rsidRPr="005D2921">
              <w:rPr>
                <w:rFonts w:ascii="Calibri" w:hAnsi="Calibri" w:cs="Calibri"/>
                <w:sz w:val="19"/>
                <w:szCs w:val="19"/>
                <w:lang w:val="es-MX"/>
              </w:rPr>
              <w:t>la</w:t>
            </w:r>
            <w:r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 oficina </w:t>
            </w:r>
            <w:r w:rsidR="00A86520" w:rsidRPr="005D2921">
              <w:rPr>
                <w:rFonts w:ascii="Calibri" w:hAnsi="Calibri" w:cs="Calibri"/>
                <w:sz w:val="19"/>
                <w:szCs w:val="19"/>
                <w:lang w:val="es-MX"/>
              </w:rPr>
              <w:t>de la</w:t>
            </w:r>
            <w:r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 Supervisor</w:t>
            </w:r>
            <w:r w:rsidR="00A86520" w:rsidRPr="005D2921">
              <w:rPr>
                <w:rFonts w:ascii="Calibri" w:hAnsi="Calibri" w:cs="Calibri"/>
                <w:sz w:val="19"/>
                <w:szCs w:val="19"/>
                <w:lang w:val="es-MX"/>
              </w:rPr>
              <w:t>a</w:t>
            </w:r>
            <w:r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 Pérez </w:t>
            </w:r>
            <w:r w:rsidR="00A86520" w:rsidRPr="005D2921">
              <w:rPr>
                <w:rFonts w:ascii="Calibri" w:hAnsi="Calibri" w:cs="Calibri"/>
                <w:sz w:val="19"/>
                <w:szCs w:val="19"/>
                <w:lang w:val="es-MX"/>
              </w:rPr>
              <w:t>a realizarse durante</w:t>
            </w:r>
            <w:r w:rsidRPr="005D2921">
              <w:rPr>
                <w:rFonts w:ascii="Calibri" w:hAnsi="Calibri" w:cs="Calibri"/>
                <w:sz w:val="19"/>
                <w:szCs w:val="19"/>
                <w:lang w:val="es-MX"/>
              </w:rPr>
              <w:t xml:space="preserve"> el otoño de 2014.</w:t>
            </w:r>
          </w:p>
        </w:tc>
      </w:tr>
    </w:tbl>
    <w:p w:rsidR="001D3496" w:rsidRPr="00A3766E" w:rsidRDefault="00497485" w:rsidP="00A3766E">
      <w:pPr>
        <w:spacing w:before="240"/>
        <w:rPr>
          <w:rFonts w:ascii="Calibri" w:hAnsi="Calibri" w:cs="Calibri"/>
          <w:b/>
          <w:i/>
          <w:sz w:val="24"/>
          <w:szCs w:val="24"/>
          <w:lang w:val="es-MX"/>
        </w:rPr>
      </w:pPr>
      <w:r w:rsidRPr="00D1134B">
        <w:rPr>
          <w:rFonts w:ascii="Calibri" w:hAnsi="Calibri" w:cs="Calibri"/>
          <w:b/>
          <w:i/>
          <w:sz w:val="24"/>
          <w:szCs w:val="24"/>
          <w:lang w:val="es-MX"/>
        </w:rPr>
        <w:t xml:space="preserve">Por favor </w:t>
      </w:r>
      <w:r w:rsidR="007B7AA3">
        <w:rPr>
          <w:rFonts w:ascii="Calibri" w:hAnsi="Calibri" w:cs="Calibri"/>
          <w:b/>
          <w:i/>
          <w:sz w:val="24"/>
          <w:szCs w:val="24"/>
          <w:lang w:val="es-MX"/>
        </w:rPr>
        <w:t xml:space="preserve">adjunte una copia de la hoja </w:t>
      </w:r>
      <w:r w:rsidRPr="00D1134B">
        <w:rPr>
          <w:rFonts w:ascii="Calibri" w:hAnsi="Calibri" w:cs="Calibri"/>
          <w:b/>
          <w:i/>
          <w:sz w:val="24"/>
          <w:szCs w:val="24"/>
          <w:lang w:val="es-MX"/>
        </w:rPr>
        <w:t>de asistencia de la reunión.</w:t>
      </w:r>
    </w:p>
    <w:sectPr w:rsidR="001D3496" w:rsidRPr="00A3766E" w:rsidSect="00D028CC">
      <w:headerReference w:type="default" r:id="rId14"/>
      <w:headerReference w:type="first" r:id="rId15"/>
      <w:type w:val="continuous"/>
      <w:pgSz w:w="12240" w:h="15840" w:code="1"/>
      <w:pgMar w:top="1440" w:right="1440" w:bottom="1440" w:left="1440" w:header="360" w:footer="23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0E" w:rsidRDefault="00A5210E">
      <w:pPr>
        <w:spacing w:after="0"/>
      </w:pPr>
      <w:r>
        <w:separator/>
      </w:r>
    </w:p>
    <w:p w:rsidR="00A5210E" w:rsidRDefault="00A5210E"/>
    <w:p w:rsidR="00A5210E" w:rsidRDefault="00A5210E"/>
  </w:endnote>
  <w:endnote w:type="continuationSeparator" w:id="0">
    <w:p w:rsidR="00A5210E" w:rsidRDefault="00A5210E">
      <w:pPr>
        <w:spacing w:after="0"/>
      </w:pPr>
      <w:r>
        <w:continuationSeparator/>
      </w:r>
    </w:p>
    <w:p w:rsidR="00A5210E" w:rsidRDefault="00A5210E"/>
    <w:p w:rsidR="00A5210E" w:rsidRDefault="00A52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B5" w:rsidRDefault="00003FB5" w:rsidP="00003FB5">
    <w:pPr>
      <w:pStyle w:val="Footer"/>
      <w:jc w:val="center"/>
      <w:rPr>
        <w:rFonts w:ascii="Rockwell" w:hAnsi="Rockwell"/>
        <w:b/>
        <w:caps/>
        <w:color w:val="148DCD"/>
        <w:sz w:val="22"/>
      </w:rPr>
    </w:pPr>
  </w:p>
  <w:p w:rsidR="00003FB5" w:rsidRPr="00964F32" w:rsidRDefault="00003FB5" w:rsidP="00003FB5">
    <w:pPr>
      <w:pStyle w:val="Footer"/>
      <w:jc w:val="center"/>
      <w:rPr>
        <w:rFonts w:ascii="Rockwell" w:hAnsi="Rockwell"/>
        <w:b/>
        <w:caps/>
        <w:color w:val="148DCD"/>
        <w:sz w:val="22"/>
      </w:rPr>
    </w:pPr>
    <w:r w:rsidRPr="00964F32">
      <w:rPr>
        <w:rFonts w:ascii="Rockwell" w:hAnsi="Rockwell"/>
        <w:b/>
        <w:caps/>
        <w:color w:val="148DCD"/>
        <w:sz w:val="22"/>
      </w:rPr>
      <w:t>We have the power to build healthy communities for the next generation</w:t>
    </w:r>
  </w:p>
  <w:p w:rsidR="005F1A2B" w:rsidRDefault="005F1A2B" w:rsidP="00003FB5">
    <w:pPr>
      <w:pStyle w:val="Footer"/>
      <w:rPr>
        <w:szCs w:val="24"/>
      </w:rPr>
    </w:pPr>
  </w:p>
  <w:p w:rsidR="00003FB5" w:rsidRPr="00003FB5" w:rsidRDefault="00003FB5" w:rsidP="00003FB5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0E" w:rsidRDefault="00A5210E">
      <w:pPr>
        <w:spacing w:after="0"/>
      </w:pPr>
      <w:r>
        <w:separator/>
      </w:r>
    </w:p>
    <w:p w:rsidR="00A5210E" w:rsidRDefault="00A5210E"/>
    <w:p w:rsidR="00A5210E" w:rsidRDefault="00A5210E"/>
  </w:footnote>
  <w:footnote w:type="continuationSeparator" w:id="0">
    <w:p w:rsidR="00A5210E" w:rsidRDefault="00A5210E">
      <w:pPr>
        <w:spacing w:after="0"/>
      </w:pPr>
      <w:r>
        <w:continuationSeparator/>
      </w:r>
    </w:p>
    <w:p w:rsidR="00A5210E" w:rsidRDefault="00A5210E"/>
    <w:p w:rsidR="00A5210E" w:rsidRDefault="00A521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2" w:rsidRDefault="00C22B92" w:rsidP="00910576">
    <w:pPr>
      <w:pStyle w:val="NoSpacing"/>
    </w:pPr>
  </w:p>
  <w:p w:rsidR="00C22B92" w:rsidRDefault="00C22B92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2" w:rsidRDefault="00C22B92" w:rsidP="00910576">
    <w:pPr>
      <w:pStyle w:val="NoSpacing"/>
    </w:pPr>
  </w:p>
  <w:p w:rsidR="00C22B92" w:rsidRDefault="00C22B92">
    <w:pPr>
      <w:pStyle w:val="NoSpacing"/>
    </w:pPr>
  </w:p>
  <w:p w:rsidR="00C22B92" w:rsidRDefault="00C22B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5"/>
    </w:tblGrid>
    <w:tr w:rsidR="00C22B92" w:rsidRPr="001622C9">
      <w:trPr>
        <w:cantSplit/>
      </w:trPr>
      <w:tc>
        <w:tcPr>
          <w:tcW w:w="5746" w:type="dxa"/>
          <w:vAlign w:val="bottom"/>
        </w:tcPr>
        <w:p w:rsidR="00C22B92" w:rsidRPr="005E23BC" w:rsidRDefault="00A5210E">
          <w:pPr>
            <w:pStyle w:val="Header"/>
            <w:rPr>
              <w:rFonts w:ascii="Calibri" w:hAnsi="Calibri" w:cs="Calibri"/>
              <w:color w:val="078EC7"/>
            </w:rPr>
          </w:pPr>
          <w:sdt>
            <w:sdtPr>
              <w:rPr>
                <w:rFonts w:ascii="Calibri" w:hAnsi="Calibri" w:cs="Calibri"/>
                <w:color w:val="078EC7"/>
              </w:rPr>
              <w:alias w:val="Title"/>
              <w:tag w:val="Title"/>
              <w:id w:val="82254908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22B92">
                <w:rPr>
                  <w:rFonts w:ascii="Calibri" w:hAnsi="Calibri" w:cs="Calibri"/>
                  <w:color w:val="078EC7"/>
                </w:rPr>
                <w:t>Title</w:t>
              </w:r>
            </w:sdtContent>
          </w:sdt>
          <w:r w:rsidR="00C22B92" w:rsidRPr="005E23BC">
            <w:rPr>
              <w:rFonts w:ascii="Calibri" w:hAnsi="Calibri" w:cs="Calibri"/>
              <w:color w:val="078EC7"/>
            </w:rPr>
            <w:t xml:space="preserve"> </w:t>
          </w:r>
          <w:sdt>
            <w:sdtPr>
              <w:rPr>
                <w:rFonts w:ascii="Calibri" w:hAnsi="Calibri" w:cs="Calibri"/>
                <w:color w:val="078EC7"/>
              </w:rPr>
              <w:alias w:val="Subtitle"/>
              <w:tag w:val="Subtitle"/>
              <w:id w:val="-185518273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C22B92">
                <w:rPr>
                  <w:rFonts w:ascii="Calibri" w:hAnsi="Calibri" w:cs="Calibri"/>
                  <w:color w:val="078EC7"/>
                </w:rPr>
                <w:t>Subtitle</w:t>
              </w:r>
            </w:sdtContent>
          </w:sdt>
        </w:p>
      </w:tc>
      <w:tc>
        <w:tcPr>
          <w:tcW w:w="5746" w:type="dxa"/>
          <w:vAlign w:val="bottom"/>
        </w:tcPr>
        <w:p w:rsidR="00C22B92" w:rsidRPr="001622C9" w:rsidRDefault="00C22B92">
          <w:pPr>
            <w:pStyle w:val="IssueNumber"/>
            <w:rPr>
              <w:rFonts w:ascii="Calibri" w:hAnsi="Calibri" w:cs="Calibri"/>
            </w:rPr>
          </w:pPr>
          <w:r w:rsidRPr="001622C9">
            <w:rPr>
              <w:rFonts w:ascii="Calibri" w:hAnsi="Calibri" w:cs="Calibri"/>
            </w:rPr>
            <w:t xml:space="preserve">Issue </w:t>
          </w:r>
          <w:sdt>
            <w:sdtPr>
              <w:rPr>
                <w:rFonts w:ascii="Calibri" w:hAnsi="Calibri" w:cs="Calibri"/>
              </w:rPr>
              <w:alias w:val="Issue No"/>
              <w:tag w:val="Issue No"/>
              <w:id w:val="-1586288677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1622C9">
                <w:rPr>
                  <w:rFonts w:ascii="Calibri" w:hAnsi="Calibri" w:cs="Calibri"/>
                </w:rPr>
                <w:t>#</w:t>
              </w:r>
            </w:sdtContent>
          </w:sdt>
          <w:r w:rsidRPr="001622C9">
            <w:rPr>
              <w:rFonts w:ascii="Calibri" w:hAnsi="Calibri" w:cs="Calibri"/>
            </w:rPr>
            <w:t xml:space="preserve"> </w:t>
          </w:r>
        </w:p>
      </w:tc>
    </w:tr>
  </w:tbl>
  <w:p w:rsidR="00C22B92" w:rsidRPr="001622C9" w:rsidRDefault="00C22B92">
    <w:pPr>
      <w:pStyle w:val="NoSpacing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A2A21E2"/>
    <w:multiLevelType w:val="hybridMultilevel"/>
    <w:tmpl w:val="150A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F0BF3"/>
    <w:multiLevelType w:val="hybridMultilevel"/>
    <w:tmpl w:val="236A2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D4416"/>
    <w:multiLevelType w:val="hybridMultilevel"/>
    <w:tmpl w:val="A54E39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F43AD"/>
    <w:multiLevelType w:val="hybridMultilevel"/>
    <w:tmpl w:val="9F96D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447ED"/>
    <w:multiLevelType w:val="hybridMultilevel"/>
    <w:tmpl w:val="4B1CC8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A91458"/>
    <w:multiLevelType w:val="hybridMultilevel"/>
    <w:tmpl w:val="2BB2B4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63180"/>
    <w:multiLevelType w:val="hybridMultilevel"/>
    <w:tmpl w:val="6D6652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1F592A"/>
    <w:multiLevelType w:val="hybridMultilevel"/>
    <w:tmpl w:val="B360F7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0E0F86"/>
    <w:multiLevelType w:val="hybridMultilevel"/>
    <w:tmpl w:val="756C4C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533F83"/>
    <w:multiLevelType w:val="hybridMultilevel"/>
    <w:tmpl w:val="7514E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A7A23"/>
    <w:multiLevelType w:val="hybridMultilevel"/>
    <w:tmpl w:val="E728A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860215"/>
    <w:multiLevelType w:val="hybridMultilevel"/>
    <w:tmpl w:val="094042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6"/>
  </w:num>
  <w:num w:numId="16">
    <w:abstractNumId w:val="11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3B"/>
    <w:rsid w:val="00003F17"/>
    <w:rsid w:val="00003FB5"/>
    <w:rsid w:val="0000474D"/>
    <w:rsid w:val="0001065E"/>
    <w:rsid w:val="00012042"/>
    <w:rsid w:val="0001281E"/>
    <w:rsid w:val="000221C1"/>
    <w:rsid w:val="000255D6"/>
    <w:rsid w:val="00036E99"/>
    <w:rsid w:val="0005373B"/>
    <w:rsid w:val="00065DFE"/>
    <w:rsid w:val="00067B43"/>
    <w:rsid w:val="00071B31"/>
    <w:rsid w:val="00073894"/>
    <w:rsid w:val="0007478C"/>
    <w:rsid w:val="000928D5"/>
    <w:rsid w:val="000A047A"/>
    <w:rsid w:val="000A36A3"/>
    <w:rsid w:val="000C4585"/>
    <w:rsid w:val="000D7182"/>
    <w:rsid w:val="001025ED"/>
    <w:rsid w:val="00115E33"/>
    <w:rsid w:val="00120214"/>
    <w:rsid w:val="001256BB"/>
    <w:rsid w:val="00136186"/>
    <w:rsid w:val="00143F4F"/>
    <w:rsid w:val="00144913"/>
    <w:rsid w:val="0015225D"/>
    <w:rsid w:val="001551F0"/>
    <w:rsid w:val="0015534B"/>
    <w:rsid w:val="00156519"/>
    <w:rsid w:val="0015715C"/>
    <w:rsid w:val="001622C9"/>
    <w:rsid w:val="00162D59"/>
    <w:rsid w:val="00185983"/>
    <w:rsid w:val="00192C5B"/>
    <w:rsid w:val="00195119"/>
    <w:rsid w:val="001C03B7"/>
    <w:rsid w:val="001D0041"/>
    <w:rsid w:val="001D3496"/>
    <w:rsid w:val="001E1FDE"/>
    <w:rsid w:val="001F294A"/>
    <w:rsid w:val="001F5E62"/>
    <w:rsid w:val="001F60EA"/>
    <w:rsid w:val="001F79FA"/>
    <w:rsid w:val="0020639C"/>
    <w:rsid w:val="00217A7B"/>
    <w:rsid w:val="00220686"/>
    <w:rsid w:val="00223F84"/>
    <w:rsid w:val="00237AA0"/>
    <w:rsid w:val="002434C8"/>
    <w:rsid w:val="00252D67"/>
    <w:rsid w:val="0026022F"/>
    <w:rsid w:val="0026717C"/>
    <w:rsid w:val="002671ED"/>
    <w:rsid w:val="00287426"/>
    <w:rsid w:val="002967C0"/>
    <w:rsid w:val="00296D6F"/>
    <w:rsid w:val="002A1765"/>
    <w:rsid w:val="002A6149"/>
    <w:rsid w:val="002B1A46"/>
    <w:rsid w:val="002B3B6F"/>
    <w:rsid w:val="002E2DC2"/>
    <w:rsid w:val="002F1F9D"/>
    <w:rsid w:val="002F3816"/>
    <w:rsid w:val="002F7E5C"/>
    <w:rsid w:val="00305B3E"/>
    <w:rsid w:val="0032390F"/>
    <w:rsid w:val="00331FBC"/>
    <w:rsid w:val="003328BF"/>
    <w:rsid w:val="00354939"/>
    <w:rsid w:val="00360671"/>
    <w:rsid w:val="00364C05"/>
    <w:rsid w:val="00364E43"/>
    <w:rsid w:val="00371761"/>
    <w:rsid w:val="00375C9F"/>
    <w:rsid w:val="003A1225"/>
    <w:rsid w:val="003B438F"/>
    <w:rsid w:val="003B60BD"/>
    <w:rsid w:val="003C16EF"/>
    <w:rsid w:val="003E5015"/>
    <w:rsid w:val="003F7FEF"/>
    <w:rsid w:val="0044532B"/>
    <w:rsid w:val="00453A72"/>
    <w:rsid w:val="004578C6"/>
    <w:rsid w:val="00467001"/>
    <w:rsid w:val="00480C26"/>
    <w:rsid w:val="004842CB"/>
    <w:rsid w:val="00490EB3"/>
    <w:rsid w:val="00497485"/>
    <w:rsid w:val="004A42B8"/>
    <w:rsid w:val="004B3A14"/>
    <w:rsid w:val="004B7675"/>
    <w:rsid w:val="004C57EA"/>
    <w:rsid w:val="004C73A4"/>
    <w:rsid w:val="004C7704"/>
    <w:rsid w:val="004D40A9"/>
    <w:rsid w:val="004D6B72"/>
    <w:rsid w:val="004E1576"/>
    <w:rsid w:val="005008BE"/>
    <w:rsid w:val="005119EB"/>
    <w:rsid w:val="00511F0C"/>
    <w:rsid w:val="005446B7"/>
    <w:rsid w:val="00555D26"/>
    <w:rsid w:val="00565CA6"/>
    <w:rsid w:val="00565EA4"/>
    <w:rsid w:val="005751D7"/>
    <w:rsid w:val="005A5D1A"/>
    <w:rsid w:val="005C2554"/>
    <w:rsid w:val="005C31B4"/>
    <w:rsid w:val="005C4DB5"/>
    <w:rsid w:val="005C5A3A"/>
    <w:rsid w:val="005D2921"/>
    <w:rsid w:val="005D6C84"/>
    <w:rsid w:val="005E23BC"/>
    <w:rsid w:val="005E60AE"/>
    <w:rsid w:val="005E65FC"/>
    <w:rsid w:val="005F1A2B"/>
    <w:rsid w:val="00600F0D"/>
    <w:rsid w:val="00603AD6"/>
    <w:rsid w:val="00607439"/>
    <w:rsid w:val="00626270"/>
    <w:rsid w:val="0062653B"/>
    <w:rsid w:val="00642EF3"/>
    <w:rsid w:val="0064386B"/>
    <w:rsid w:val="006521CC"/>
    <w:rsid w:val="00660413"/>
    <w:rsid w:val="00663E6C"/>
    <w:rsid w:val="006724E5"/>
    <w:rsid w:val="00672A27"/>
    <w:rsid w:val="00677508"/>
    <w:rsid w:val="00687214"/>
    <w:rsid w:val="00696799"/>
    <w:rsid w:val="006A6C77"/>
    <w:rsid w:val="006B0372"/>
    <w:rsid w:val="006B0F85"/>
    <w:rsid w:val="006C6E9C"/>
    <w:rsid w:val="006D4E04"/>
    <w:rsid w:val="006D5C3F"/>
    <w:rsid w:val="006F0446"/>
    <w:rsid w:val="00704623"/>
    <w:rsid w:val="00716B57"/>
    <w:rsid w:val="00732215"/>
    <w:rsid w:val="00732D2E"/>
    <w:rsid w:val="00733223"/>
    <w:rsid w:val="00737BEA"/>
    <w:rsid w:val="00741361"/>
    <w:rsid w:val="00746188"/>
    <w:rsid w:val="007554BC"/>
    <w:rsid w:val="0076188B"/>
    <w:rsid w:val="0077035C"/>
    <w:rsid w:val="007707AF"/>
    <w:rsid w:val="00777109"/>
    <w:rsid w:val="00797CD0"/>
    <w:rsid w:val="007B0D60"/>
    <w:rsid w:val="007B3E56"/>
    <w:rsid w:val="007B7AA3"/>
    <w:rsid w:val="007C5639"/>
    <w:rsid w:val="007E1CBA"/>
    <w:rsid w:val="00812076"/>
    <w:rsid w:val="00831A90"/>
    <w:rsid w:val="008321D6"/>
    <w:rsid w:val="00836B64"/>
    <w:rsid w:val="008417CF"/>
    <w:rsid w:val="0085189A"/>
    <w:rsid w:val="00857259"/>
    <w:rsid w:val="00861561"/>
    <w:rsid w:val="008672C2"/>
    <w:rsid w:val="00872681"/>
    <w:rsid w:val="00876798"/>
    <w:rsid w:val="00877D31"/>
    <w:rsid w:val="00893CCC"/>
    <w:rsid w:val="0089630F"/>
    <w:rsid w:val="008A18E3"/>
    <w:rsid w:val="008A2926"/>
    <w:rsid w:val="008A67CF"/>
    <w:rsid w:val="008B3724"/>
    <w:rsid w:val="008C184E"/>
    <w:rsid w:val="008F3112"/>
    <w:rsid w:val="00902117"/>
    <w:rsid w:val="00903D4B"/>
    <w:rsid w:val="00910576"/>
    <w:rsid w:val="00914507"/>
    <w:rsid w:val="00986477"/>
    <w:rsid w:val="009A6065"/>
    <w:rsid w:val="009B00F3"/>
    <w:rsid w:val="009C50E6"/>
    <w:rsid w:val="009D423F"/>
    <w:rsid w:val="009E1BE4"/>
    <w:rsid w:val="009F7CA0"/>
    <w:rsid w:val="00A0479A"/>
    <w:rsid w:val="00A11F9D"/>
    <w:rsid w:val="00A17AD8"/>
    <w:rsid w:val="00A2205C"/>
    <w:rsid w:val="00A233F1"/>
    <w:rsid w:val="00A248F1"/>
    <w:rsid w:val="00A30255"/>
    <w:rsid w:val="00A322B5"/>
    <w:rsid w:val="00A3766E"/>
    <w:rsid w:val="00A4634C"/>
    <w:rsid w:val="00A5210E"/>
    <w:rsid w:val="00A634BB"/>
    <w:rsid w:val="00A8170C"/>
    <w:rsid w:val="00A86520"/>
    <w:rsid w:val="00AA569C"/>
    <w:rsid w:val="00AB2BDA"/>
    <w:rsid w:val="00AC46FB"/>
    <w:rsid w:val="00AD34E5"/>
    <w:rsid w:val="00AE253C"/>
    <w:rsid w:val="00AE5A02"/>
    <w:rsid w:val="00AF2B9A"/>
    <w:rsid w:val="00AF3BD9"/>
    <w:rsid w:val="00B13D7F"/>
    <w:rsid w:val="00B15305"/>
    <w:rsid w:val="00B1642D"/>
    <w:rsid w:val="00B16519"/>
    <w:rsid w:val="00B41B32"/>
    <w:rsid w:val="00B44371"/>
    <w:rsid w:val="00B47EF5"/>
    <w:rsid w:val="00B60143"/>
    <w:rsid w:val="00B71553"/>
    <w:rsid w:val="00B901FA"/>
    <w:rsid w:val="00BB4C0B"/>
    <w:rsid w:val="00BB6408"/>
    <w:rsid w:val="00BC6770"/>
    <w:rsid w:val="00BC7615"/>
    <w:rsid w:val="00BD0982"/>
    <w:rsid w:val="00BD7DA8"/>
    <w:rsid w:val="00BF6A63"/>
    <w:rsid w:val="00C20EAA"/>
    <w:rsid w:val="00C22B92"/>
    <w:rsid w:val="00C26EC6"/>
    <w:rsid w:val="00C4500B"/>
    <w:rsid w:val="00C63992"/>
    <w:rsid w:val="00C674AB"/>
    <w:rsid w:val="00C72A25"/>
    <w:rsid w:val="00C900DA"/>
    <w:rsid w:val="00CB1D4B"/>
    <w:rsid w:val="00CB69A9"/>
    <w:rsid w:val="00CC7217"/>
    <w:rsid w:val="00CE2840"/>
    <w:rsid w:val="00CE3454"/>
    <w:rsid w:val="00CE3B2C"/>
    <w:rsid w:val="00CF1172"/>
    <w:rsid w:val="00D028CC"/>
    <w:rsid w:val="00D04549"/>
    <w:rsid w:val="00D06B5F"/>
    <w:rsid w:val="00D10002"/>
    <w:rsid w:val="00D234F1"/>
    <w:rsid w:val="00D2491F"/>
    <w:rsid w:val="00D25BDB"/>
    <w:rsid w:val="00D30D22"/>
    <w:rsid w:val="00D420D7"/>
    <w:rsid w:val="00D458A2"/>
    <w:rsid w:val="00D63681"/>
    <w:rsid w:val="00D729E5"/>
    <w:rsid w:val="00D913A9"/>
    <w:rsid w:val="00D91E59"/>
    <w:rsid w:val="00D91ED9"/>
    <w:rsid w:val="00DA6FDA"/>
    <w:rsid w:val="00DD1EFC"/>
    <w:rsid w:val="00DD3D9A"/>
    <w:rsid w:val="00DD606A"/>
    <w:rsid w:val="00DE06F9"/>
    <w:rsid w:val="00E07D66"/>
    <w:rsid w:val="00E13742"/>
    <w:rsid w:val="00E32FCA"/>
    <w:rsid w:val="00E51D8D"/>
    <w:rsid w:val="00E600B9"/>
    <w:rsid w:val="00E62E98"/>
    <w:rsid w:val="00E74609"/>
    <w:rsid w:val="00E74698"/>
    <w:rsid w:val="00E75508"/>
    <w:rsid w:val="00E757B9"/>
    <w:rsid w:val="00E766C7"/>
    <w:rsid w:val="00E80DAA"/>
    <w:rsid w:val="00E816BB"/>
    <w:rsid w:val="00E8672B"/>
    <w:rsid w:val="00E93D9D"/>
    <w:rsid w:val="00EA2CCE"/>
    <w:rsid w:val="00EB6735"/>
    <w:rsid w:val="00EC1E46"/>
    <w:rsid w:val="00EC60F7"/>
    <w:rsid w:val="00ED6D05"/>
    <w:rsid w:val="00F17A4D"/>
    <w:rsid w:val="00F2114F"/>
    <w:rsid w:val="00F2182E"/>
    <w:rsid w:val="00F2382B"/>
    <w:rsid w:val="00F24852"/>
    <w:rsid w:val="00F26034"/>
    <w:rsid w:val="00F26C16"/>
    <w:rsid w:val="00F30F3E"/>
    <w:rsid w:val="00F33EF8"/>
    <w:rsid w:val="00F47A80"/>
    <w:rsid w:val="00F647C6"/>
    <w:rsid w:val="00F751EC"/>
    <w:rsid w:val="00F86E28"/>
    <w:rsid w:val="00F9079D"/>
    <w:rsid w:val="00F945C7"/>
    <w:rsid w:val="00F96A3E"/>
    <w:rsid w:val="00FA22A7"/>
    <w:rsid w:val="00FA5121"/>
    <w:rsid w:val="00FB400F"/>
    <w:rsid w:val="00FD208E"/>
    <w:rsid w:val="00FD5167"/>
    <w:rsid w:val="00FE1DD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table" w:customStyle="1" w:styleId="TableGrid1">
    <w:name w:val="Table Grid1"/>
    <w:basedOn w:val="TableNormal"/>
    <w:next w:val="TableGrid"/>
    <w:uiPriority w:val="59"/>
    <w:rsid w:val="004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A569C"/>
    <w:pPr>
      <w:spacing w:after="0"/>
      <w:ind w:left="720"/>
    </w:pPr>
    <w:rPr>
      <w:rFonts w:ascii="Californian FB" w:eastAsia="Calibri" w:hAnsi="Californian FB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table" w:customStyle="1" w:styleId="TableGrid1">
    <w:name w:val="Table Grid1"/>
    <w:basedOn w:val="TableNormal"/>
    <w:next w:val="TableGrid"/>
    <w:uiPriority w:val="59"/>
    <w:rsid w:val="004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A569C"/>
    <w:pPr>
      <w:spacing w:after="0"/>
      <w:ind w:left="720"/>
    </w:pPr>
    <w:rPr>
      <w:rFonts w:ascii="Californian FB" w:eastAsia="Calibri" w:hAnsi="Californian FB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ierolf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50501-5208-477A-B989-86D48127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Williams Group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Tieka Dierolf</dc:creator>
  <cp:lastModifiedBy>Myra M. Delgado</cp:lastModifiedBy>
  <cp:revision>2</cp:revision>
  <cp:lastPrinted>2013-01-26T22:07:00Z</cp:lastPrinted>
  <dcterms:created xsi:type="dcterms:W3CDTF">2014-05-01T15:32:00Z</dcterms:created>
  <dcterms:modified xsi:type="dcterms:W3CDTF">2014-05-01T15:32:00Z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