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9B2B8F" w:rsidRDefault="006D5C3F" w:rsidP="00D028CC">
      <w:pPr>
        <w:rPr>
          <w:lang w:val="es-MX"/>
        </w:rPr>
      </w:pPr>
      <w:bookmarkStart w:id="0" w:name="_GoBack"/>
      <w:bookmarkEnd w:id="0"/>
      <w:r w:rsidRPr="009B2B8F">
        <w:rPr>
          <w:rFonts w:ascii="Calibri" w:hAnsi="Calibri"/>
          <w:b/>
          <w:noProof/>
          <w:sz w:val="44"/>
          <w:szCs w:val="44"/>
        </w:rPr>
        <w:drawing>
          <wp:anchor distT="0" distB="0" distL="114300" distR="114300" simplePos="0" relativeHeight="251676672" behindDoc="0" locked="0" layoutInCell="1" allowOverlap="1">
            <wp:simplePos x="0" y="0"/>
            <wp:positionH relativeFrom="column">
              <wp:posOffset>5647962</wp:posOffset>
            </wp:positionH>
            <wp:positionV relativeFrom="paragraph">
              <wp:posOffset>-64770</wp:posOffset>
            </wp:positionV>
            <wp:extent cx="718457" cy="12114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areas-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457" cy="1211445"/>
                    </a:xfrm>
                    <a:prstGeom prst="rect">
                      <a:avLst/>
                    </a:prstGeom>
                  </pic:spPr>
                </pic:pic>
              </a:graphicData>
            </a:graphic>
          </wp:anchor>
        </w:drawing>
      </w:r>
      <w:r w:rsidR="00C72A25" w:rsidRPr="009B2B8F">
        <w:rPr>
          <w:noProof/>
        </w:rPr>
        <w:drawing>
          <wp:anchor distT="0" distB="0" distL="114300" distR="114300" simplePos="0" relativeHeight="251670528" behindDoc="0" locked="0" layoutInCell="1" allowOverlap="1">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RPr="009B2B8F"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Pr="009B2B8F" w:rsidRDefault="00E757B9" w:rsidP="00D028CC">
            <w:pPr>
              <w:rPr>
                <w:lang w:val="es-MX"/>
              </w:rPr>
            </w:pPr>
          </w:p>
          <w:p w:rsidR="00E757B9" w:rsidRPr="009B2B8F" w:rsidRDefault="00E757B9" w:rsidP="00D028CC">
            <w:pPr>
              <w:rPr>
                <w:lang w:val="es-MX"/>
              </w:rPr>
            </w:pPr>
          </w:p>
          <w:p w:rsidR="00E757B9" w:rsidRPr="009B2B8F" w:rsidRDefault="00E757B9" w:rsidP="00D028CC">
            <w:pPr>
              <w:rPr>
                <w:lang w:val="es-MX"/>
              </w:rPr>
            </w:pPr>
          </w:p>
          <w:p w:rsidR="00E757B9" w:rsidRPr="009B2B8F" w:rsidRDefault="00A0479A" w:rsidP="00D028CC">
            <w:pPr>
              <w:rPr>
                <w:lang w:val="es-MX"/>
              </w:rPr>
            </w:pPr>
            <w:r w:rsidRPr="009B2B8F">
              <w:rPr>
                <w:lang w:val="es-MX"/>
              </w:rPr>
              <w:t>We</w:t>
            </w:r>
          </w:p>
          <w:p w:rsidR="00A0479A" w:rsidRPr="009B2B8F" w:rsidRDefault="00A0479A" w:rsidP="00D028CC">
            <w:pPr>
              <w:rPr>
                <w:lang w:val="es-MX"/>
              </w:rPr>
            </w:pPr>
          </w:p>
          <w:p w:rsidR="00A0479A" w:rsidRPr="009B2B8F" w:rsidRDefault="00A0479A" w:rsidP="00D028CC">
            <w:pPr>
              <w:rPr>
                <w:lang w:val="es-MX"/>
              </w:rPr>
            </w:pPr>
          </w:p>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9B2B8F" w:rsidRDefault="00E757B9" w:rsidP="00D028CC">
            <w:pPr>
              <w:rPr>
                <w:lang w:val="es-MX"/>
              </w:rPr>
            </w:pPr>
          </w:p>
        </w:tc>
      </w:tr>
      <w:tr w:rsidR="00DD1EFC" w:rsidRPr="009B2B8F" w:rsidTr="00F86E28">
        <w:trPr>
          <w:cantSplit/>
          <w:trHeight w:hRule="exact" w:val="109"/>
          <w:jc w:val="center"/>
        </w:trPr>
        <w:tc>
          <w:tcPr>
            <w:tcW w:w="12023" w:type="dxa"/>
            <w:tcBorders>
              <w:top w:val="single" w:sz="4" w:space="0" w:color="FFFFFF" w:themeColor="background1"/>
            </w:tcBorders>
          </w:tcPr>
          <w:p w:rsidR="00E757B9" w:rsidRPr="009B2B8F" w:rsidRDefault="00E757B9" w:rsidP="00D028CC">
            <w:pPr>
              <w:rPr>
                <w:lang w:val="es-MX"/>
              </w:rPr>
            </w:pPr>
          </w:p>
        </w:tc>
        <w:tc>
          <w:tcPr>
            <w:tcW w:w="4646" w:type="dxa"/>
            <w:tcBorders>
              <w:top w:val="single" w:sz="4" w:space="0" w:color="FFFFFF" w:themeColor="background1"/>
            </w:tcBorders>
          </w:tcPr>
          <w:p w:rsidR="00E757B9" w:rsidRPr="009B2B8F" w:rsidRDefault="00E757B9" w:rsidP="00D028CC">
            <w:pPr>
              <w:rPr>
                <w:lang w:val="es-MX"/>
              </w:rPr>
            </w:pPr>
          </w:p>
        </w:tc>
        <w:tc>
          <w:tcPr>
            <w:tcW w:w="45" w:type="dxa"/>
          </w:tcPr>
          <w:p w:rsidR="00E757B9" w:rsidRPr="009B2B8F" w:rsidRDefault="00E757B9" w:rsidP="00D028CC">
            <w:pPr>
              <w:rPr>
                <w:lang w:val="es-MX"/>
              </w:rPr>
            </w:pPr>
          </w:p>
        </w:tc>
        <w:tc>
          <w:tcPr>
            <w:tcW w:w="3789" w:type="dxa"/>
            <w:tcBorders>
              <w:top w:val="single" w:sz="4" w:space="0" w:color="FFFFFF" w:themeColor="background1"/>
            </w:tcBorders>
            <w:shd w:val="clear" w:color="auto" w:fill="auto"/>
          </w:tcPr>
          <w:p w:rsidR="00E757B9" w:rsidRPr="009B2B8F" w:rsidRDefault="00E757B9" w:rsidP="00D028CC">
            <w:pPr>
              <w:rPr>
                <w:lang w:val="es-MX"/>
              </w:rPr>
            </w:pPr>
          </w:p>
        </w:tc>
      </w:tr>
      <w:tr w:rsidR="00DD1EFC" w:rsidRPr="009B2B8F" w:rsidTr="00D028CC">
        <w:trPr>
          <w:cantSplit/>
          <w:trHeight w:val="351"/>
          <w:jc w:val="center"/>
        </w:trPr>
        <w:tc>
          <w:tcPr>
            <w:tcW w:w="12023" w:type="dxa"/>
            <w:shd w:val="clear" w:color="auto" w:fill="FFA830" w:themeFill="accent2"/>
          </w:tcPr>
          <w:p w:rsidR="00E757B9" w:rsidRPr="009B2B8F" w:rsidRDefault="003B438F" w:rsidP="00D028CC">
            <w:pPr>
              <w:rPr>
                <w:lang w:val="es-MX"/>
              </w:rPr>
            </w:pPr>
            <w:r w:rsidRPr="009B2B8F">
              <w:rPr>
                <w:lang w:val="es-MX"/>
              </w:rPr>
              <w:t>Bu</w:t>
            </w:r>
            <w:r w:rsidRPr="009B2B8F">
              <w:rPr>
                <w:lang w:val="es-MX"/>
              </w:rPr>
              <w:tab/>
            </w:r>
          </w:p>
        </w:tc>
        <w:tc>
          <w:tcPr>
            <w:tcW w:w="4646" w:type="dxa"/>
            <w:shd w:val="clear" w:color="auto" w:fill="FFA830" w:themeFill="accent2"/>
            <w:tcMar>
              <w:left w:w="0" w:type="dxa"/>
              <w:right w:w="115" w:type="dxa"/>
            </w:tcMar>
            <w:vAlign w:val="center"/>
          </w:tcPr>
          <w:p w:rsidR="00E757B9" w:rsidRPr="009B2B8F" w:rsidRDefault="00E757B9" w:rsidP="00D028CC">
            <w:pPr>
              <w:rPr>
                <w:b/>
                <w:lang w:val="es-MX"/>
              </w:rPr>
            </w:pPr>
          </w:p>
        </w:tc>
        <w:tc>
          <w:tcPr>
            <w:tcW w:w="45" w:type="dxa"/>
            <w:tcMar>
              <w:left w:w="0" w:type="dxa"/>
              <w:right w:w="0" w:type="dxa"/>
            </w:tcMar>
            <w:vAlign w:val="center"/>
          </w:tcPr>
          <w:p w:rsidR="00E757B9" w:rsidRPr="009B2B8F" w:rsidRDefault="00E757B9" w:rsidP="00D028CC">
            <w:pPr>
              <w:rPr>
                <w:lang w:val="es-MX"/>
              </w:rPr>
            </w:pPr>
          </w:p>
        </w:tc>
        <w:tc>
          <w:tcPr>
            <w:tcW w:w="3789" w:type="dxa"/>
            <w:shd w:val="clear" w:color="auto" w:fill="auto"/>
            <w:tcMar>
              <w:left w:w="0" w:type="dxa"/>
              <w:right w:w="115" w:type="dxa"/>
            </w:tcMar>
            <w:vAlign w:val="center"/>
          </w:tcPr>
          <w:p w:rsidR="00E757B9" w:rsidRPr="009B2B8F" w:rsidRDefault="00E757B9" w:rsidP="00D028CC">
            <w:pPr>
              <w:rPr>
                <w:lang w:val="es-MX"/>
              </w:rPr>
            </w:pPr>
            <w:r w:rsidRPr="009B2B8F">
              <w:rPr>
                <w:lang w:val="es-MX"/>
              </w:rPr>
              <w:t>In This Issue</w:t>
            </w:r>
          </w:p>
        </w:tc>
      </w:tr>
    </w:tbl>
    <w:p w:rsidR="0001065E" w:rsidRPr="009B2B8F" w:rsidRDefault="0001065E" w:rsidP="00D028CC">
      <w:pPr>
        <w:rPr>
          <w:lang w:val="es-MX"/>
        </w:rPr>
        <w:sectPr w:rsidR="0001065E" w:rsidRPr="009B2B8F" w:rsidSect="00FD5167">
          <w:headerReference w:type="default" r:id="rId12"/>
          <w:footerReference w:type="first" r:id="rId13"/>
          <w:pgSz w:w="12240" w:h="15840" w:code="1"/>
          <w:pgMar w:top="720" w:right="720" w:bottom="720" w:left="720" w:header="288" w:footer="0" w:gutter="0"/>
          <w:cols w:space="720"/>
          <w:titlePg/>
          <w:docGrid w:linePitch="360"/>
        </w:sectPr>
      </w:pPr>
    </w:p>
    <w:p w:rsidR="004F280E" w:rsidRPr="009B2B8F" w:rsidRDefault="004F280E" w:rsidP="004F280E">
      <w:pPr>
        <w:spacing w:before="240" w:after="360"/>
        <w:rPr>
          <w:rFonts w:ascii="Rockwell" w:hAnsi="Rockwell"/>
          <w:b/>
          <w:sz w:val="40"/>
          <w:szCs w:val="40"/>
          <w:lang w:val="es-MX"/>
        </w:rPr>
      </w:pPr>
      <w:r w:rsidRPr="009B2B8F">
        <w:rPr>
          <w:rFonts w:ascii="Rockwell" w:hAnsi="Rockwell"/>
          <w:b/>
          <w:sz w:val="40"/>
          <w:szCs w:val="40"/>
          <w:lang w:val="es-MX"/>
        </w:rPr>
        <w:lastRenderedPageBreak/>
        <w:t>Informe del Equipo de Acción - Salud</w:t>
      </w:r>
    </w:p>
    <w:p w:rsidR="001D3496" w:rsidRPr="009B2B8F" w:rsidRDefault="004F280E" w:rsidP="00D420D7">
      <w:pPr>
        <w:spacing w:before="240"/>
        <w:rPr>
          <w:rFonts w:ascii="Rockwell" w:hAnsi="Rockwell"/>
          <w:sz w:val="24"/>
          <w:szCs w:val="24"/>
          <w:u w:val="single"/>
          <w:lang w:val="es-MX"/>
        </w:rPr>
      </w:pPr>
      <w:r w:rsidRPr="009B2B8F">
        <w:rPr>
          <w:rFonts w:ascii="Rockwell" w:hAnsi="Rockwell"/>
          <w:sz w:val="24"/>
          <w:szCs w:val="24"/>
          <w:lang w:val="es-MX"/>
        </w:rPr>
        <w:t>Mes</w:t>
      </w:r>
      <w:r w:rsidR="001D3496" w:rsidRPr="009B2B8F">
        <w:rPr>
          <w:rFonts w:ascii="Rockwell" w:hAnsi="Rockwell"/>
          <w:sz w:val="24"/>
          <w:szCs w:val="24"/>
          <w:lang w:val="es-MX"/>
        </w:rPr>
        <w:t xml:space="preserve">: </w:t>
      </w:r>
      <w:r w:rsidR="00726ED0" w:rsidRPr="009B2B8F">
        <w:rPr>
          <w:rFonts w:ascii="Rockwell" w:hAnsi="Rockwell"/>
          <w:sz w:val="24"/>
          <w:szCs w:val="24"/>
          <w:u w:val="single"/>
          <w:lang w:val="es-MX"/>
        </w:rPr>
        <w:t xml:space="preserve">  22</w:t>
      </w:r>
      <w:r w:rsidRPr="009B2B8F">
        <w:rPr>
          <w:rFonts w:ascii="Rockwell" w:hAnsi="Rockwell"/>
          <w:sz w:val="24"/>
          <w:szCs w:val="24"/>
          <w:u w:val="single"/>
          <w:lang w:val="es-MX"/>
        </w:rPr>
        <w:t xml:space="preserve"> de octubre de</w:t>
      </w:r>
      <w:r w:rsidR="00AB66D2" w:rsidRPr="009B2B8F">
        <w:rPr>
          <w:rFonts w:ascii="Rockwell" w:hAnsi="Rockwell"/>
          <w:sz w:val="24"/>
          <w:szCs w:val="24"/>
          <w:u w:val="single"/>
          <w:lang w:val="es-MX"/>
        </w:rPr>
        <w:t xml:space="preserve"> 2015</w:t>
      </w:r>
      <w:r w:rsidR="009D423F" w:rsidRPr="009B2B8F">
        <w:rPr>
          <w:rFonts w:ascii="Rockwell" w:hAnsi="Rockwell"/>
          <w:sz w:val="24"/>
          <w:szCs w:val="24"/>
          <w:u w:val="single"/>
          <w:lang w:val="es-MX"/>
        </w:rPr>
        <w:tab/>
      </w:r>
      <w:r w:rsidR="001D3496" w:rsidRPr="009B2B8F">
        <w:rPr>
          <w:rFonts w:ascii="Rockwell" w:hAnsi="Rockwell"/>
          <w:sz w:val="24"/>
          <w:szCs w:val="24"/>
          <w:lang w:val="es-MX"/>
        </w:rPr>
        <w:tab/>
      </w:r>
      <w:r w:rsidRPr="009B2B8F">
        <w:rPr>
          <w:rFonts w:ascii="Rockwell" w:hAnsi="Rockwell"/>
          <w:sz w:val="24"/>
          <w:szCs w:val="24"/>
          <w:lang w:val="es-MX"/>
        </w:rPr>
        <w:t>Presentado</w:t>
      </w:r>
      <w:r w:rsidR="001D3496" w:rsidRPr="009B2B8F">
        <w:rPr>
          <w:rFonts w:ascii="Rockwell" w:hAnsi="Rockwell"/>
          <w:sz w:val="24"/>
          <w:szCs w:val="24"/>
          <w:lang w:val="es-MX"/>
        </w:rPr>
        <w:t xml:space="preserve"> </w:t>
      </w:r>
      <w:r w:rsidRPr="009B2B8F">
        <w:rPr>
          <w:rFonts w:ascii="Rockwell" w:hAnsi="Rockwell"/>
          <w:sz w:val="24"/>
          <w:szCs w:val="24"/>
          <w:lang w:val="es-MX"/>
        </w:rPr>
        <w:t>por</w:t>
      </w:r>
      <w:r w:rsidR="001D3496" w:rsidRPr="009B2B8F">
        <w:rPr>
          <w:rFonts w:ascii="Rockwell" w:hAnsi="Rockwell"/>
          <w:sz w:val="24"/>
          <w:szCs w:val="24"/>
          <w:lang w:val="es-MX"/>
        </w:rPr>
        <w:t xml:space="preserve">: </w:t>
      </w:r>
      <w:r w:rsidRPr="009B2B8F">
        <w:rPr>
          <w:rFonts w:ascii="Rockwell" w:hAnsi="Rockwell"/>
          <w:sz w:val="24"/>
          <w:szCs w:val="24"/>
          <w:u w:val="single"/>
          <w:lang w:val="es-MX"/>
        </w:rPr>
        <w:t xml:space="preserve">  Bill Phelps, Copresidente</w:t>
      </w:r>
      <w:r w:rsidR="006A2A48" w:rsidRPr="009B2B8F">
        <w:rPr>
          <w:rFonts w:ascii="Rockwell" w:hAnsi="Rockwell"/>
          <w:sz w:val="24"/>
          <w:szCs w:val="24"/>
          <w:u w:val="single"/>
          <w:lang w:val="es-MX"/>
        </w:rPr>
        <w:tab/>
      </w:r>
      <w:r w:rsidR="006A2A48" w:rsidRPr="009B2B8F">
        <w:rPr>
          <w:rFonts w:ascii="Rockwell" w:hAnsi="Rockwell"/>
          <w:sz w:val="24"/>
          <w:szCs w:val="24"/>
          <w:u w:val="single"/>
          <w:lang w:val="es-MX"/>
        </w:rPr>
        <w:tab/>
      </w:r>
    </w:p>
    <w:p w:rsidR="004F280E" w:rsidRPr="009B2B8F" w:rsidRDefault="004F280E" w:rsidP="004F280E">
      <w:pPr>
        <w:spacing w:before="240" w:after="0"/>
        <w:rPr>
          <w:rFonts w:ascii="Rockwell" w:hAnsi="Rockwell"/>
          <w:sz w:val="24"/>
          <w:szCs w:val="24"/>
          <w:lang w:val="es-MX"/>
        </w:rPr>
      </w:pPr>
      <w:r w:rsidRPr="009B2B8F">
        <w:rPr>
          <w:rFonts w:ascii="Rockwell" w:hAnsi="Rockwell"/>
          <w:b/>
          <w:sz w:val="24"/>
          <w:szCs w:val="24"/>
          <w:lang w:val="es-MX"/>
        </w:rPr>
        <w:t>Breve Resumen de la Reunión y el Trabajo del Equipo de Acción (200 palabras o menos)</w:t>
      </w:r>
    </w:p>
    <w:p w:rsidR="004F280E" w:rsidRPr="009B2B8F" w:rsidRDefault="004F280E" w:rsidP="004F280E">
      <w:pPr>
        <w:rPr>
          <w:rFonts w:ascii="Rockwell" w:hAnsi="Rockwell"/>
          <w:b/>
          <w:i/>
          <w:sz w:val="24"/>
          <w:szCs w:val="24"/>
          <w:lang w:val="es-MX"/>
        </w:rPr>
      </w:pPr>
      <w:r w:rsidRPr="009B2B8F">
        <w:rPr>
          <w:rFonts w:ascii="Rockwell" w:hAnsi="Rockwell"/>
          <w:b/>
          <w:i/>
          <w:sz w:val="24"/>
          <w:szCs w:val="24"/>
          <w:lang w:val="es-MX"/>
        </w:rPr>
        <w:t xml:space="preserve">Incluya los puntos más destacado/logros o retos. </w:t>
      </w:r>
    </w:p>
    <w:tbl>
      <w:tblPr>
        <w:tblW w:w="10638" w:type="dxa"/>
        <w:tblLook w:val="04A0" w:firstRow="1" w:lastRow="0" w:firstColumn="1" w:lastColumn="0" w:noHBand="0" w:noVBand="1"/>
      </w:tblPr>
      <w:tblGrid>
        <w:gridCol w:w="10638"/>
      </w:tblGrid>
      <w:tr w:rsidR="00347874" w:rsidRPr="009B2B8F" w:rsidTr="00136C5F">
        <w:tc>
          <w:tcPr>
            <w:tcW w:w="10638" w:type="dxa"/>
          </w:tcPr>
          <w:p w:rsidR="00EE4F4F" w:rsidRPr="009B2B8F" w:rsidRDefault="00EE4F4F" w:rsidP="000C77C8">
            <w:pPr>
              <w:spacing w:after="0"/>
              <w:rPr>
                <w:rFonts w:ascii="Arial" w:hAnsi="Arial" w:cs="Arial"/>
                <w:sz w:val="22"/>
                <w:lang w:val="es-MX"/>
              </w:rPr>
            </w:pPr>
            <w:r w:rsidRPr="009B2B8F">
              <w:rPr>
                <w:rFonts w:ascii="Arial" w:hAnsi="Arial" w:cs="Arial"/>
                <w:sz w:val="22"/>
                <w:lang w:val="es-MX"/>
              </w:rPr>
              <w:t>El Equipo de Acción de la Salud se reunió el 22 de octubre de 2015. El propósito principal de la reunión fue revisar las promesas que se presentarán en la celebración comunitaria, el 7 de noviembre de 2015. Lisa Elliott de Transforming Local Communities y Jennifer Wood, gerente del EJE, dirigieron la discusión. El documento borrador se envió por correo para comentarios.</w:t>
            </w:r>
          </w:p>
          <w:p w:rsidR="00B0353E" w:rsidRPr="009B2B8F" w:rsidRDefault="00B0353E" w:rsidP="00383C64">
            <w:pPr>
              <w:spacing w:after="0"/>
              <w:rPr>
                <w:rFonts w:ascii="Arial" w:hAnsi="Arial" w:cs="Arial"/>
                <w:sz w:val="22"/>
                <w:lang w:val="es-MX"/>
              </w:rPr>
            </w:pPr>
          </w:p>
          <w:p w:rsidR="005B6D9E" w:rsidRPr="009B2B8F" w:rsidRDefault="005B6D9E" w:rsidP="00383C64">
            <w:pPr>
              <w:spacing w:after="0"/>
              <w:rPr>
                <w:rFonts w:ascii="Arial" w:hAnsi="Arial" w:cs="Arial"/>
                <w:sz w:val="22"/>
                <w:lang w:val="es-MX"/>
              </w:rPr>
            </w:pPr>
            <w:r w:rsidRPr="009B2B8F">
              <w:rPr>
                <w:rFonts w:ascii="Arial" w:hAnsi="Arial" w:cs="Arial"/>
                <w:sz w:val="22"/>
                <w:lang w:val="es-MX"/>
              </w:rPr>
              <w:t>También recibimos actualizaciones sobre las siguientes actividades:</w:t>
            </w:r>
          </w:p>
          <w:p w:rsidR="005C4707" w:rsidRPr="009B2B8F" w:rsidRDefault="005C4707" w:rsidP="00383C64">
            <w:pPr>
              <w:spacing w:after="0"/>
              <w:rPr>
                <w:rFonts w:ascii="Arial" w:hAnsi="Arial" w:cs="Arial"/>
                <w:sz w:val="22"/>
                <w:lang w:val="es-MX"/>
              </w:rPr>
            </w:pPr>
          </w:p>
          <w:p w:rsidR="006705BE" w:rsidRPr="009B2B8F" w:rsidRDefault="000C77C8" w:rsidP="00DD1B38">
            <w:pPr>
              <w:pStyle w:val="ListParagraph"/>
              <w:numPr>
                <w:ilvl w:val="0"/>
                <w:numId w:val="36"/>
              </w:numPr>
              <w:rPr>
                <w:rFonts w:ascii="Arial" w:hAnsi="Arial" w:cs="Arial"/>
                <w:sz w:val="22"/>
                <w:lang w:val="es-MX"/>
              </w:rPr>
            </w:pPr>
            <w:r w:rsidRPr="009B2B8F">
              <w:rPr>
                <w:rFonts w:ascii="Arial" w:hAnsi="Arial" w:cs="Arial"/>
                <w:sz w:val="22"/>
                <w:u w:val="single"/>
                <w:lang w:val="es-MX"/>
              </w:rPr>
              <w:t>Health4All</w:t>
            </w:r>
            <w:r w:rsidR="00B7317D" w:rsidRPr="009B2B8F">
              <w:rPr>
                <w:rFonts w:ascii="Arial" w:hAnsi="Arial" w:cs="Arial"/>
                <w:sz w:val="22"/>
                <w:lang w:val="es-MX"/>
              </w:rPr>
              <w:t xml:space="preserve">: </w:t>
            </w:r>
            <w:r w:rsidR="006705BE" w:rsidRPr="009B2B8F">
              <w:rPr>
                <w:rFonts w:ascii="Arial" w:hAnsi="Arial" w:cs="Arial"/>
                <w:sz w:val="22"/>
                <w:lang w:val="es-MX"/>
              </w:rPr>
              <w:t xml:space="preserve">Este grupo se reúne mensualmente para desarrollar estrategias para desarrollar una solución a nivel de condado para algún tipo de programa de cuidado de salud para los residentes adultos indocumentados. Los niños indocumentados tendrán cobertura a partir de mayo de 2016. Hablamos acerca de la importancia de inscribir a estos niños ahora en Medi-Cal de emergencia para que puedan </w:t>
            </w:r>
            <w:r w:rsidR="00B7317D" w:rsidRPr="009B2B8F">
              <w:rPr>
                <w:rFonts w:ascii="Arial" w:hAnsi="Arial" w:cs="Arial"/>
                <w:sz w:val="22"/>
                <w:lang w:val="es-MX"/>
              </w:rPr>
              <w:t xml:space="preserve">cambiar directamente a </w:t>
            </w:r>
            <w:r w:rsidR="006705BE" w:rsidRPr="009B2B8F">
              <w:rPr>
                <w:rFonts w:ascii="Arial" w:hAnsi="Arial" w:cs="Arial"/>
                <w:sz w:val="22"/>
                <w:lang w:val="es-MX"/>
              </w:rPr>
              <w:t xml:space="preserve">Medi-Cal </w:t>
            </w:r>
            <w:r w:rsidR="00B7317D" w:rsidRPr="009B2B8F">
              <w:rPr>
                <w:rFonts w:ascii="Arial" w:hAnsi="Arial" w:cs="Arial"/>
                <w:sz w:val="22"/>
                <w:lang w:val="es-MX"/>
              </w:rPr>
              <w:t xml:space="preserve">completo </w:t>
            </w:r>
            <w:r w:rsidR="006705BE" w:rsidRPr="009B2B8F">
              <w:rPr>
                <w:rFonts w:ascii="Arial" w:hAnsi="Arial" w:cs="Arial"/>
                <w:sz w:val="22"/>
                <w:lang w:val="es-MX"/>
              </w:rPr>
              <w:t xml:space="preserve">una vez que la ampliación de </w:t>
            </w:r>
            <w:r w:rsidR="00B7317D" w:rsidRPr="009B2B8F">
              <w:rPr>
                <w:rFonts w:ascii="Arial" w:hAnsi="Arial" w:cs="Arial"/>
                <w:sz w:val="22"/>
                <w:lang w:val="es-MX"/>
              </w:rPr>
              <w:t>cobertura esté</w:t>
            </w:r>
            <w:r w:rsidR="006705BE" w:rsidRPr="009B2B8F">
              <w:rPr>
                <w:rFonts w:ascii="Arial" w:hAnsi="Arial" w:cs="Arial"/>
                <w:sz w:val="22"/>
                <w:lang w:val="es-MX"/>
              </w:rPr>
              <w:t xml:space="preserve"> disponible para esta población. La próxima reunión </w:t>
            </w:r>
            <w:r w:rsidR="00D47C02" w:rsidRPr="009B2B8F">
              <w:rPr>
                <w:rFonts w:ascii="Arial" w:hAnsi="Arial" w:cs="Arial"/>
                <w:sz w:val="22"/>
                <w:lang w:val="es-MX"/>
              </w:rPr>
              <w:t xml:space="preserve">se programó </w:t>
            </w:r>
            <w:r w:rsidR="00DD1B38" w:rsidRPr="009B2B8F">
              <w:rPr>
                <w:rFonts w:ascii="Arial" w:hAnsi="Arial" w:cs="Arial"/>
                <w:sz w:val="22"/>
                <w:lang w:val="es-MX"/>
              </w:rPr>
              <w:t xml:space="preserve">para el </w:t>
            </w:r>
            <w:r w:rsidR="006705BE" w:rsidRPr="009B2B8F">
              <w:rPr>
                <w:rFonts w:ascii="Arial" w:hAnsi="Arial" w:cs="Arial"/>
                <w:sz w:val="22"/>
                <w:lang w:val="es-MX"/>
              </w:rPr>
              <w:t>28</w:t>
            </w:r>
            <w:r w:rsidR="00DD1B38" w:rsidRPr="009B2B8F">
              <w:rPr>
                <w:rFonts w:ascii="Arial" w:hAnsi="Arial" w:cs="Arial"/>
                <w:sz w:val="22"/>
                <w:lang w:val="es-MX"/>
              </w:rPr>
              <w:t>/10</w:t>
            </w:r>
            <w:r w:rsidR="006705BE" w:rsidRPr="009B2B8F">
              <w:rPr>
                <w:rFonts w:ascii="Arial" w:hAnsi="Arial" w:cs="Arial"/>
                <w:sz w:val="22"/>
                <w:lang w:val="es-MX"/>
              </w:rPr>
              <w:t xml:space="preserve">/15 </w:t>
            </w:r>
            <w:r w:rsidR="00DD1B38" w:rsidRPr="009B2B8F">
              <w:rPr>
                <w:rFonts w:ascii="Arial" w:hAnsi="Arial" w:cs="Arial"/>
                <w:sz w:val="22"/>
                <w:lang w:val="es-MX"/>
              </w:rPr>
              <w:t xml:space="preserve">de </w:t>
            </w:r>
            <w:r w:rsidR="006705BE" w:rsidRPr="009B2B8F">
              <w:rPr>
                <w:rFonts w:ascii="Arial" w:hAnsi="Arial" w:cs="Arial"/>
                <w:sz w:val="22"/>
                <w:lang w:val="es-MX"/>
              </w:rPr>
              <w:t xml:space="preserve">12-2 pm en el </w:t>
            </w:r>
            <w:r w:rsidR="00DD1B38" w:rsidRPr="009B2B8F">
              <w:rPr>
                <w:rFonts w:ascii="Arial" w:hAnsi="Arial" w:cs="Arial"/>
                <w:sz w:val="22"/>
                <w:lang w:val="es-MX"/>
              </w:rPr>
              <w:t xml:space="preserve">FRC de </w:t>
            </w:r>
            <w:r w:rsidR="006705BE" w:rsidRPr="009B2B8F">
              <w:rPr>
                <w:rFonts w:ascii="Arial" w:hAnsi="Arial" w:cs="Arial"/>
                <w:sz w:val="22"/>
                <w:lang w:val="es-MX"/>
              </w:rPr>
              <w:t>Greenfield.</w:t>
            </w:r>
          </w:p>
          <w:p w:rsidR="00726ED0" w:rsidRPr="009B2B8F" w:rsidRDefault="00726ED0" w:rsidP="00726ED0">
            <w:pPr>
              <w:pStyle w:val="ListParagraph"/>
              <w:rPr>
                <w:rFonts w:ascii="Arial" w:hAnsi="Arial" w:cs="Arial"/>
                <w:sz w:val="22"/>
                <w:lang w:val="es-MX"/>
              </w:rPr>
            </w:pPr>
          </w:p>
          <w:p w:rsidR="00066FB6" w:rsidRPr="009B2B8F" w:rsidRDefault="00066FB6" w:rsidP="00EA3F63">
            <w:pPr>
              <w:pStyle w:val="ListParagraph"/>
              <w:numPr>
                <w:ilvl w:val="0"/>
                <w:numId w:val="36"/>
              </w:numPr>
              <w:rPr>
                <w:rFonts w:ascii="Arial" w:hAnsi="Arial" w:cs="Arial"/>
                <w:sz w:val="22"/>
                <w:lang w:val="es-MX"/>
              </w:rPr>
            </w:pPr>
            <w:r w:rsidRPr="009B2B8F">
              <w:rPr>
                <w:rFonts w:ascii="Arial" w:hAnsi="Arial" w:cs="Arial"/>
                <w:sz w:val="22"/>
                <w:u w:val="single"/>
                <w:lang w:val="es-MX"/>
              </w:rPr>
              <w:t>Inscripción Abierta</w:t>
            </w:r>
            <w:r w:rsidRPr="009B2B8F">
              <w:rPr>
                <w:rFonts w:ascii="Arial" w:hAnsi="Arial" w:cs="Arial"/>
                <w:sz w:val="22"/>
                <w:lang w:val="es-MX"/>
              </w:rPr>
              <w:t xml:space="preserve">: </w:t>
            </w:r>
            <w:r w:rsidR="001713E7" w:rsidRPr="009B2B8F">
              <w:rPr>
                <w:rFonts w:ascii="Arial" w:hAnsi="Arial" w:cs="Arial"/>
                <w:sz w:val="22"/>
                <w:lang w:val="es-MX"/>
              </w:rPr>
              <w:t xml:space="preserve">La </w:t>
            </w:r>
            <w:r w:rsidRPr="009B2B8F">
              <w:rPr>
                <w:rFonts w:ascii="Arial" w:hAnsi="Arial" w:cs="Arial"/>
                <w:sz w:val="22"/>
                <w:lang w:val="es-MX"/>
              </w:rPr>
              <w:t xml:space="preserve">Iniciativa de Salud de la Comunidad </w:t>
            </w:r>
            <w:r w:rsidR="001713E7" w:rsidRPr="009B2B8F">
              <w:rPr>
                <w:rFonts w:ascii="Arial" w:hAnsi="Arial" w:cs="Arial"/>
                <w:sz w:val="22"/>
                <w:lang w:val="es-MX"/>
              </w:rPr>
              <w:t xml:space="preserve">de Dignity Health planeaba organizar una conferencia de prensa el </w:t>
            </w:r>
            <w:r w:rsidRPr="009B2B8F">
              <w:rPr>
                <w:rFonts w:ascii="Arial" w:hAnsi="Arial" w:cs="Arial"/>
                <w:sz w:val="22"/>
                <w:lang w:val="es-MX"/>
              </w:rPr>
              <w:t>30</w:t>
            </w:r>
            <w:r w:rsidR="001713E7" w:rsidRPr="009B2B8F">
              <w:rPr>
                <w:rFonts w:ascii="Arial" w:hAnsi="Arial" w:cs="Arial"/>
                <w:sz w:val="22"/>
                <w:lang w:val="es-MX"/>
              </w:rPr>
              <w:t>/10</w:t>
            </w:r>
            <w:r w:rsidRPr="009B2B8F">
              <w:rPr>
                <w:rFonts w:ascii="Arial" w:hAnsi="Arial" w:cs="Arial"/>
                <w:sz w:val="22"/>
                <w:lang w:val="es-MX"/>
              </w:rPr>
              <w:t xml:space="preserve">/15 </w:t>
            </w:r>
            <w:r w:rsidR="001713E7" w:rsidRPr="009B2B8F">
              <w:rPr>
                <w:rFonts w:ascii="Arial" w:hAnsi="Arial" w:cs="Arial"/>
                <w:sz w:val="22"/>
                <w:lang w:val="es-MX"/>
              </w:rPr>
              <w:t>para</w:t>
            </w:r>
            <w:r w:rsidRPr="009B2B8F">
              <w:rPr>
                <w:rFonts w:ascii="Arial" w:hAnsi="Arial" w:cs="Arial"/>
                <w:sz w:val="22"/>
                <w:lang w:val="es-MX"/>
              </w:rPr>
              <w:t xml:space="preserve"> </w:t>
            </w:r>
            <w:r w:rsidR="001713E7" w:rsidRPr="009B2B8F">
              <w:rPr>
                <w:rFonts w:ascii="Arial" w:hAnsi="Arial" w:cs="Arial"/>
                <w:sz w:val="22"/>
                <w:lang w:val="es-MX"/>
              </w:rPr>
              <w:t xml:space="preserve">lanzar </w:t>
            </w:r>
            <w:r w:rsidRPr="009B2B8F">
              <w:rPr>
                <w:rFonts w:ascii="Arial" w:hAnsi="Arial" w:cs="Arial"/>
                <w:sz w:val="22"/>
                <w:lang w:val="es-MX"/>
              </w:rPr>
              <w:t xml:space="preserve">el próximo período de inscripción abierta para </w:t>
            </w:r>
            <w:r w:rsidR="001713E7" w:rsidRPr="009B2B8F">
              <w:rPr>
                <w:rFonts w:ascii="Arial" w:hAnsi="Arial" w:cs="Arial"/>
                <w:sz w:val="22"/>
                <w:lang w:val="es-MX"/>
              </w:rPr>
              <w:t xml:space="preserve">Covered </w:t>
            </w:r>
            <w:r w:rsidRPr="009B2B8F">
              <w:rPr>
                <w:rFonts w:ascii="Arial" w:hAnsi="Arial" w:cs="Arial"/>
                <w:sz w:val="22"/>
                <w:lang w:val="es-MX"/>
              </w:rPr>
              <w:t xml:space="preserve">California </w:t>
            </w:r>
            <w:r w:rsidR="001713E7" w:rsidRPr="009B2B8F">
              <w:rPr>
                <w:rFonts w:ascii="Arial" w:hAnsi="Arial" w:cs="Arial"/>
                <w:sz w:val="22"/>
                <w:lang w:val="es-MX"/>
              </w:rPr>
              <w:t>que estará abierta del</w:t>
            </w:r>
            <w:r w:rsidRPr="009B2B8F">
              <w:rPr>
                <w:rFonts w:ascii="Arial" w:hAnsi="Arial" w:cs="Arial"/>
                <w:sz w:val="22"/>
                <w:lang w:val="es-MX"/>
              </w:rPr>
              <w:t>1</w:t>
            </w:r>
            <w:r w:rsidR="001713E7" w:rsidRPr="009B2B8F">
              <w:rPr>
                <w:rFonts w:ascii="Arial" w:hAnsi="Arial" w:cs="Arial"/>
                <w:sz w:val="22"/>
                <w:lang w:val="es-MX"/>
              </w:rPr>
              <w:t>/11</w:t>
            </w:r>
            <w:r w:rsidRPr="009B2B8F">
              <w:rPr>
                <w:rFonts w:ascii="Arial" w:hAnsi="Arial" w:cs="Arial"/>
                <w:sz w:val="22"/>
                <w:lang w:val="es-MX"/>
              </w:rPr>
              <w:t>/5</w:t>
            </w:r>
            <w:r w:rsidR="001713E7" w:rsidRPr="009B2B8F">
              <w:rPr>
                <w:rFonts w:ascii="Arial" w:hAnsi="Arial" w:cs="Arial"/>
                <w:sz w:val="22"/>
                <w:lang w:val="es-MX"/>
              </w:rPr>
              <w:t xml:space="preserve"> al </w:t>
            </w:r>
            <w:r w:rsidRPr="009B2B8F">
              <w:rPr>
                <w:rFonts w:ascii="Arial" w:hAnsi="Arial" w:cs="Arial"/>
                <w:sz w:val="22"/>
                <w:lang w:val="es-MX"/>
              </w:rPr>
              <w:t>31/</w:t>
            </w:r>
            <w:r w:rsidR="001713E7" w:rsidRPr="009B2B8F">
              <w:rPr>
                <w:rFonts w:ascii="Arial" w:hAnsi="Arial" w:cs="Arial"/>
                <w:sz w:val="22"/>
                <w:lang w:val="es-MX"/>
              </w:rPr>
              <w:t>01/16. Se alentó la asistencia de todas las agencias interesadas</w:t>
            </w:r>
            <w:r w:rsidRPr="009B2B8F">
              <w:rPr>
                <w:rFonts w:ascii="Arial" w:hAnsi="Arial" w:cs="Arial"/>
                <w:sz w:val="22"/>
                <w:lang w:val="es-MX"/>
              </w:rPr>
              <w:t xml:space="preserve">. Dignidad, </w:t>
            </w:r>
            <w:r w:rsidR="00EA3F63" w:rsidRPr="009B2B8F">
              <w:rPr>
                <w:rFonts w:ascii="Arial" w:hAnsi="Arial" w:cs="Arial"/>
                <w:sz w:val="22"/>
                <w:lang w:val="es-MX"/>
              </w:rPr>
              <w:t xml:space="preserve">el FRC de </w:t>
            </w:r>
            <w:r w:rsidRPr="009B2B8F">
              <w:rPr>
                <w:rFonts w:ascii="Arial" w:hAnsi="Arial" w:cs="Arial"/>
                <w:sz w:val="22"/>
                <w:lang w:val="es-MX"/>
              </w:rPr>
              <w:t xml:space="preserve">Greenfield y </w:t>
            </w:r>
            <w:r w:rsidR="00EA3F63" w:rsidRPr="009B2B8F">
              <w:rPr>
                <w:rFonts w:ascii="Arial" w:hAnsi="Arial" w:cs="Arial"/>
                <w:sz w:val="22"/>
                <w:lang w:val="es-MX"/>
              </w:rPr>
              <w:t>Clínica</w:t>
            </w:r>
            <w:r w:rsidRPr="009B2B8F">
              <w:rPr>
                <w:rFonts w:ascii="Arial" w:hAnsi="Arial" w:cs="Arial"/>
                <w:sz w:val="22"/>
                <w:lang w:val="es-MX"/>
              </w:rPr>
              <w:t xml:space="preserve"> proporcionaron actualizaciones sobre sus planes de </w:t>
            </w:r>
            <w:r w:rsidR="00EA3F63" w:rsidRPr="009B2B8F">
              <w:rPr>
                <w:rFonts w:ascii="Arial" w:hAnsi="Arial" w:cs="Arial"/>
                <w:sz w:val="22"/>
                <w:lang w:val="es-MX"/>
              </w:rPr>
              <w:t>alcance comunitario</w:t>
            </w:r>
            <w:r w:rsidRPr="009B2B8F">
              <w:rPr>
                <w:rFonts w:ascii="Arial" w:hAnsi="Arial" w:cs="Arial"/>
                <w:sz w:val="22"/>
                <w:lang w:val="es-MX"/>
              </w:rPr>
              <w:t xml:space="preserve"> </w:t>
            </w:r>
            <w:r w:rsidR="00EA3F63" w:rsidRPr="009B2B8F">
              <w:rPr>
                <w:rFonts w:ascii="Arial" w:hAnsi="Arial" w:cs="Arial"/>
                <w:sz w:val="22"/>
                <w:lang w:val="es-MX"/>
              </w:rPr>
              <w:t>e</w:t>
            </w:r>
            <w:r w:rsidRPr="009B2B8F">
              <w:rPr>
                <w:rFonts w:ascii="Arial" w:hAnsi="Arial" w:cs="Arial"/>
                <w:sz w:val="22"/>
                <w:lang w:val="es-MX"/>
              </w:rPr>
              <w:t xml:space="preserve"> inscripción.</w:t>
            </w:r>
          </w:p>
          <w:p w:rsidR="00726ED0" w:rsidRPr="009B2B8F" w:rsidRDefault="00726ED0" w:rsidP="00726ED0">
            <w:pPr>
              <w:pStyle w:val="ListParagraph"/>
              <w:rPr>
                <w:rFonts w:ascii="Arial" w:hAnsi="Arial" w:cs="Arial"/>
                <w:sz w:val="22"/>
                <w:lang w:val="es-MX"/>
              </w:rPr>
            </w:pPr>
          </w:p>
          <w:p w:rsidR="00726ED0" w:rsidRPr="009B2B8F" w:rsidRDefault="007F7459" w:rsidP="00B0353E">
            <w:pPr>
              <w:pStyle w:val="ListParagraph"/>
              <w:numPr>
                <w:ilvl w:val="0"/>
                <w:numId w:val="36"/>
              </w:numPr>
              <w:rPr>
                <w:rFonts w:ascii="Arial" w:hAnsi="Arial" w:cs="Arial"/>
                <w:sz w:val="22"/>
                <w:lang w:val="es-MX"/>
              </w:rPr>
            </w:pPr>
            <w:r w:rsidRPr="009B2B8F">
              <w:rPr>
                <w:rFonts w:ascii="Arial" w:hAnsi="Arial" w:cs="Arial"/>
                <w:sz w:val="22"/>
                <w:lang w:val="es-MX"/>
              </w:rPr>
              <w:t xml:space="preserve">La </w:t>
            </w:r>
            <w:r w:rsidRPr="009B2B8F">
              <w:rPr>
                <w:rFonts w:ascii="Arial" w:hAnsi="Arial" w:cs="Arial"/>
                <w:sz w:val="22"/>
                <w:u w:val="single"/>
                <w:lang w:val="es-MX"/>
              </w:rPr>
              <w:t xml:space="preserve">Reunión d Todos los Equipos de Acción </w:t>
            </w:r>
            <w:r w:rsidRPr="009B2B8F">
              <w:rPr>
                <w:rFonts w:ascii="Arial" w:hAnsi="Arial" w:cs="Arial"/>
                <w:sz w:val="22"/>
                <w:lang w:val="es-MX"/>
              </w:rPr>
              <w:t xml:space="preserve">se celebrara el </w:t>
            </w:r>
            <w:r w:rsidR="00726ED0" w:rsidRPr="009B2B8F">
              <w:rPr>
                <w:rFonts w:ascii="Arial" w:hAnsi="Arial" w:cs="Arial"/>
                <w:sz w:val="22"/>
                <w:lang w:val="es-MX"/>
              </w:rPr>
              <w:t>19</w:t>
            </w:r>
            <w:r w:rsidRPr="009B2B8F">
              <w:rPr>
                <w:rFonts w:ascii="Arial" w:hAnsi="Arial" w:cs="Arial"/>
                <w:sz w:val="22"/>
                <w:lang w:val="es-MX"/>
              </w:rPr>
              <w:t>/11</w:t>
            </w:r>
            <w:r w:rsidR="00726ED0" w:rsidRPr="009B2B8F">
              <w:rPr>
                <w:rFonts w:ascii="Arial" w:hAnsi="Arial" w:cs="Arial"/>
                <w:sz w:val="22"/>
                <w:lang w:val="es-MX"/>
              </w:rPr>
              <w:t xml:space="preserve">/15 </w:t>
            </w:r>
            <w:r w:rsidRPr="009B2B8F">
              <w:rPr>
                <w:rFonts w:ascii="Arial" w:hAnsi="Arial" w:cs="Arial"/>
                <w:sz w:val="22"/>
                <w:lang w:val="es-MX"/>
              </w:rPr>
              <w:t>de</w:t>
            </w:r>
            <w:r w:rsidR="00726ED0" w:rsidRPr="009B2B8F">
              <w:rPr>
                <w:rFonts w:ascii="Arial" w:hAnsi="Arial" w:cs="Arial"/>
                <w:sz w:val="22"/>
                <w:lang w:val="es-MX"/>
              </w:rPr>
              <w:t xml:space="preserve"> 3 </w:t>
            </w:r>
            <w:r w:rsidRPr="009B2B8F">
              <w:rPr>
                <w:rFonts w:ascii="Arial" w:hAnsi="Arial" w:cs="Arial"/>
                <w:sz w:val="22"/>
                <w:lang w:val="es-MX"/>
              </w:rPr>
              <w:t>a</w:t>
            </w:r>
            <w:r w:rsidR="00726ED0" w:rsidRPr="009B2B8F">
              <w:rPr>
                <w:rFonts w:ascii="Arial" w:hAnsi="Arial" w:cs="Arial"/>
                <w:sz w:val="22"/>
                <w:lang w:val="es-MX"/>
              </w:rPr>
              <w:t xml:space="preserve"> 5 pm</w:t>
            </w:r>
          </w:p>
          <w:p w:rsidR="003235F9" w:rsidRPr="009B2B8F" w:rsidRDefault="003235F9" w:rsidP="003235F9">
            <w:pPr>
              <w:rPr>
                <w:rFonts w:ascii="Arial" w:hAnsi="Arial" w:cs="Arial"/>
                <w:sz w:val="22"/>
                <w:lang w:val="es-MX"/>
              </w:rPr>
            </w:pPr>
          </w:p>
          <w:p w:rsidR="003235F9" w:rsidRPr="009B2B8F" w:rsidRDefault="003235F9" w:rsidP="00B0353E">
            <w:pPr>
              <w:pStyle w:val="ListParagraph"/>
              <w:numPr>
                <w:ilvl w:val="0"/>
                <w:numId w:val="36"/>
              </w:numPr>
              <w:rPr>
                <w:rFonts w:ascii="Arial" w:hAnsi="Arial" w:cs="Arial"/>
                <w:sz w:val="22"/>
                <w:lang w:val="es-MX"/>
              </w:rPr>
            </w:pPr>
            <w:r w:rsidRPr="009B2B8F">
              <w:rPr>
                <w:rFonts w:ascii="Arial" w:hAnsi="Arial" w:cs="Arial"/>
                <w:sz w:val="22"/>
                <w:lang w:val="es-MX"/>
              </w:rPr>
              <w:t>La capacitación de facilitadores se celebrará el 04/12/15 de 8:30 am a 3:30 pm en la oficina del Distrito Escolar de Greenfield.</w:t>
            </w:r>
          </w:p>
          <w:p w:rsidR="00B02AB1" w:rsidRPr="009B2B8F" w:rsidRDefault="00B02AB1" w:rsidP="00B02AB1">
            <w:pPr>
              <w:pStyle w:val="ListParagraph"/>
              <w:rPr>
                <w:rFonts w:ascii="Arial" w:hAnsi="Arial" w:cs="Arial"/>
                <w:sz w:val="22"/>
                <w:lang w:val="es-MX"/>
              </w:rPr>
            </w:pPr>
          </w:p>
          <w:p w:rsidR="009C12F2" w:rsidRPr="009B2B8F" w:rsidRDefault="009C12F2" w:rsidP="00B02AB1">
            <w:pPr>
              <w:rPr>
                <w:rFonts w:ascii="Arial" w:hAnsi="Arial" w:cs="Arial"/>
                <w:sz w:val="22"/>
                <w:lang w:val="es-MX"/>
              </w:rPr>
            </w:pPr>
            <w:r w:rsidRPr="009B2B8F">
              <w:rPr>
                <w:rFonts w:ascii="Arial" w:hAnsi="Arial" w:cs="Arial"/>
                <w:sz w:val="22"/>
                <w:lang w:val="es-MX"/>
              </w:rPr>
              <w:t>Nuestra próxima reunión se llevará a cabo una semana antes de tiempo debido a las vacaciones navideñas. Nos reuniremos el 17 de diciembre de 2015 de las 3:30-5:00 pm en la oficina del Distrito Escolar Unificado de Greenfield.</w:t>
            </w:r>
          </w:p>
          <w:p w:rsidR="00D10AD7" w:rsidRPr="009B2B8F" w:rsidRDefault="00D10AD7" w:rsidP="00D10AD7">
            <w:pPr>
              <w:spacing w:after="0"/>
              <w:rPr>
                <w:rFonts w:ascii="Arial" w:hAnsi="Arial" w:cs="Arial"/>
                <w:sz w:val="22"/>
                <w:lang w:val="es-MX"/>
              </w:rPr>
            </w:pPr>
          </w:p>
          <w:p w:rsidR="00347874" w:rsidRPr="009B2B8F" w:rsidRDefault="004F280E" w:rsidP="00D53A70">
            <w:pPr>
              <w:pStyle w:val="ListParagraph"/>
              <w:ind w:left="360"/>
              <w:rPr>
                <w:rFonts w:ascii="Arial" w:hAnsi="Arial" w:cs="Arial"/>
                <w:sz w:val="22"/>
                <w:lang w:val="es-MX"/>
              </w:rPr>
            </w:pPr>
            <w:r w:rsidRPr="009B2B8F">
              <w:rPr>
                <w:rFonts w:ascii="Arial" w:hAnsi="Arial" w:cs="Arial"/>
                <w:b/>
                <w:sz w:val="22"/>
                <w:lang w:val="es-MX"/>
              </w:rPr>
              <w:t>Revisión del Progreso del Plan de Acción</w:t>
            </w:r>
          </w:p>
        </w:tc>
      </w:tr>
      <w:tr w:rsidR="00347874" w:rsidRPr="009B2B8F" w:rsidTr="00136C5F">
        <w:tc>
          <w:tcPr>
            <w:tcW w:w="10638" w:type="dxa"/>
          </w:tcPr>
          <w:p w:rsidR="00347874" w:rsidRPr="009B2B8F" w:rsidRDefault="00347874" w:rsidP="00AB2097">
            <w:pPr>
              <w:spacing w:after="0"/>
              <w:ind w:left="360"/>
              <w:rPr>
                <w:rFonts w:ascii="Arial" w:eastAsia="Calibri" w:hAnsi="Arial" w:cs="Arial"/>
                <w:i/>
                <w:color w:val="auto"/>
                <w:sz w:val="22"/>
                <w:lang w:val="es-MX"/>
              </w:rPr>
            </w:pPr>
          </w:p>
        </w:tc>
      </w:tr>
      <w:tr w:rsidR="00347874" w:rsidRPr="009B2B8F" w:rsidTr="00136C5F">
        <w:tc>
          <w:tcPr>
            <w:tcW w:w="10638" w:type="dxa"/>
          </w:tcPr>
          <w:p w:rsidR="00347874" w:rsidRPr="009B2B8F" w:rsidRDefault="00347874" w:rsidP="00B0353E">
            <w:pPr>
              <w:spacing w:after="0"/>
              <w:rPr>
                <w:rFonts w:ascii="Arial" w:hAnsi="Arial" w:cs="Arial"/>
                <w:sz w:val="22"/>
                <w:lang w:val="es-MX"/>
              </w:rPr>
            </w:pPr>
          </w:p>
        </w:tc>
      </w:tr>
    </w:tbl>
    <w:tbl>
      <w:tblPr>
        <w:tblStyle w:val="TableGrid"/>
        <w:tblW w:w="10260" w:type="dxa"/>
        <w:tblInd w:w="-342" w:type="dxa"/>
        <w:tblLook w:val="04A0" w:firstRow="1" w:lastRow="0" w:firstColumn="1" w:lastColumn="0" w:noHBand="0" w:noVBand="1"/>
      </w:tblPr>
      <w:tblGrid>
        <w:gridCol w:w="3870"/>
        <w:gridCol w:w="6390"/>
      </w:tblGrid>
      <w:tr w:rsidR="001D3496" w:rsidRPr="009B2B8F" w:rsidTr="007E1CBA">
        <w:tc>
          <w:tcPr>
            <w:tcW w:w="3870" w:type="dxa"/>
            <w:shd w:val="clear" w:color="auto" w:fill="000000" w:themeFill="text1"/>
          </w:tcPr>
          <w:p w:rsidR="001D3496" w:rsidRPr="009B2B8F" w:rsidRDefault="004F280E" w:rsidP="00831A90">
            <w:pPr>
              <w:spacing w:after="0"/>
              <w:jc w:val="center"/>
              <w:rPr>
                <w:rFonts w:ascii="Calibri" w:hAnsi="Calibri" w:cs="Calibri"/>
                <w:b/>
                <w:color w:val="FFFFFF" w:themeColor="background1"/>
                <w:sz w:val="24"/>
                <w:szCs w:val="24"/>
                <w:lang w:val="es-MX"/>
              </w:rPr>
            </w:pPr>
            <w:r w:rsidRPr="009B2B8F">
              <w:rPr>
                <w:rFonts w:ascii="Calibri" w:hAnsi="Calibri" w:cs="Calibri"/>
                <w:b/>
                <w:color w:val="FFFFFF" w:themeColor="background1"/>
                <w:sz w:val="24"/>
                <w:szCs w:val="24"/>
                <w:lang w:val="es-MX"/>
              </w:rPr>
              <w:lastRenderedPageBreak/>
              <w:t>Resultado de 2014</w:t>
            </w:r>
          </w:p>
        </w:tc>
        <w:tc>
          <w:tcPr>
            <w:tcW w:w="6390" w:type="dxa"/>
            <w:shd w:val="clear" w:color="auto" w:fill="000000" w:themeFill="text1"/>
          </w:tcPr>
          <w:p w:rsidR="004F280E" w:rsidRPr="009B2B8F" w:rsidRDefault="004F280E" w:rsidP="004F280E">
            <w:pPr>
              <w:spacing w:after="0"/>
              <w:jc w:val="center"/>
              <w:rPr>
                <w:rFonts w:ascii="Calibri" w:hAnsi="Calibri" w:cs="Calibri"/>
                <w:b/>
                <w:color w:val="FFFFFF" w:themeColor="background1"/>
                <w:sz w:val="24"/>
                <w:szCs w:val="24"/>
                <w:lang w:val="es-MX"/>
              </w:rPr>
            </w:pPr>
            <w:r w:rsidRPr="009B2B8F">
              <w:rPr>
                <w:rFonts w:ascii="Calibri" w:hAnsi="Calibri" w:cs="Calibri"/>
                <w:b/>
                <w:color w:val="FFFFFF" w:themeColor="background1"/>
                <w:sz w:val="24"/>
                <w:szCs w:val="24"/>
                <w:lang w:val="es-MX"/>
              </w:rPr>
              <w:t>Resumen de Trabajo y Progreso</w:t>
            </w:r>
          </w:p>
          <w:p w:rsidR="001D3496" w:rsidRPr="009B2B8F" w:rsidRDefault="004F280E" w:rsidP="004F280E">
            <w:pPr>
              <w:spacing w:after="0"/>
              <w:jc w:val="center"/>
              <w:rPr>
                <w:rFonts w:ascii="Calibri" w:hAnsi="Calibri" w:cs="Calibri"/>
                <w:b/>
                <w:i/>
                <w:color w:val="FFFFFF" w:themeColor="background1"/>
                <w:sz w:val="20"/>
                <w:szCs w:val="20"/>
                <w:lang w:val="es-MX"/>
              </w:rPr>
            </w:pPr>
            <w:r w:rsidRPr="009B2B8F">
              <w:rPr>
                <w:rFonts w:ascii="Calibri" w:hAnsi="Calibri" w:cs="Calibri"/>
                <w:b/>
                <w:i/>
                <w:color w:val="FFFFFF" w:themeColor="background1"/>
                <w:sz w:val="20"/>
                <w:szCs w:val="20"/>
                <w:lang w:val="es-MX"/>
              </w:rPr>
              <w:t>Incluya el número nuevo/total y detalles acerca de progreso de trabajo</w:t>
            </w:r>
          </w:p>
        </w:tc>
      </w:tr>
      <w:tr w:rsidR="006D5C3F" w:rsidRPr="009B2B8F" w:rsidTr="007E1CBA">
        <w:tc>
          <w:tcPr>
            <w:tcW w:w="3870" w:type="dxa"/>
            <w:vAlign w:val="center"/>
          </w:tcPr>
          <w:p w:rsidR="006D5C3F" w:rsidRPr="009B2B8F" w:rsidRDefault="004F280E" w:rsidP="00491E19">
            <w:pPr>
              <w:spacing w:after="60"/>
              <w:contextualSpacing/>
              <w:rPr>
                <w:rFonts w:ascii="Calibri" w:hAnsi="Calibri"/>
                <w:sz w:val="22"/>
                <w:lang w:val="es-MX"/>
              </w:rPr>
            </w:pPr>
            <w:r w:rsidRPr="009B2B8F">
              <w:rPr>
                <w:rFonts w:ascii="Calibri" w:hAnsi="Calibri" w:cs="Calibri"/>
                <w:sz w:val="22"/>
                <w:lang w:val="es-MX"/>
              </w:rPr>
              <w:t>Continuar la asociación con los residentes de la comunidad y socios  para aumentar por la cantidad de 1.500 el número de residentes del sur de Kern de nueva inscripción en un seguro médico.</w:t>
            </w:r>
          </w:p>
        </w:tc>
        <w:tc>
          <w:tcPr>
            <w:tcW w:w="6390" w:type="dxa"/>
          </w:tcPr>
          <w:p w:rsidR="004F280E" w:rsidRPr="009B2B8F" w:rsidRDefault="004F280E" w:rsidP="00D53A70">
            <w:pPr>
              <w:spacing w:after="0"/>
              <w:rPr>
                <w:rFonts w:ascii="Calibri" w:hAnsi="Calibri" w:cs="Calibri"/>
                <w:sz w:val="24"/>
                <w:szCs w:val="24"/>
                <w:lang w:val="es-MX"/>
              </w:rPr>
            </w:pPr>
            <w:r w:rsidRPr="009B2B8F">
              <w:rPr>
                <w:rFonts w:ascii="Calibri" w:hAnsi="Calibri" w:cs="Calibri"/>
                <w:sz w:val="22"/>
                <w:lang w:val="es-MX"/>
              </w:rPr>
              <w:t>Casi 5.000 solicitudes de Medi-Cal y Covered California fueron presentadas por las agencias asociadas entre 01/10/14 y 30/04/15. Hemos superado la meta de 1.500 residentes de nueva inscripción. Véase el informe adjunto para más detalles sobre las solicitudes de los CEE de Kern.</w:t>
            </w:r>
          </w:p>
        </w:tc>
      </w:tr>
      <w:tr w:rsidR="006D5C3F" w:rsidRPr="009B2B8F" w:rsidTr="007E1CBA">
        <w:tc>
          <w:tcPr>
            <w:tcW w:w="3870" w:type="dxa"/>
            <w:vAlign w:val="center"/>
          </w:tcPr>
          <w:p w:rsidR="006D5C3F" w:rsidRPr="009B2B8F" w:rsidRDefault="004F280E" w:rsidP="00491E19">
            <w:pPr>
              <w:spacing w:after="60"/>
              <w:contextualSpacing/>
              <w:rPr>
                <w:rFonts w:ascii="Calibri" w:hAnsi="Calibri"/>
                <w:sz w:val="22"/>
                <w:lang w:val="es-MX"/>
              </w:rPr>
            </w:pPr>
            <w:r w:rsidRPr="009B2B8F">
              <w:rPr>
                <w:rFonts w:ascii="Calibri" w:hAnsi="Calibri" w:cs="Calibri"/>
                <w:sz w:val="22"/>
                <w:lang w:val="es-MX"/>
              </w:rPr>
              <w:t>Establecer prácticas de atención de cuidado de salud centradas en la familia en tres clínicas locales.</w:t>
            </w:r>
          </w:p>
        </w:tc>
        <w:tc>
          <w:tcPr>
            <w:tcW w:w="6390" w:type="dxa"/>
          </w:tcPr>
          <w:p w:rsidR="00662765" w:rsidRPr="009B2B8F" w:rsidRDefault="00662765" w:rsidP="00662765">
            <w:pPr>
              <w:spacing w:after="0"/>
              <w:rPr>
                <w:rFonts w:ascii="Calibri" w:hAnsi="Calibri" w:cs="Calibri"/>
                <w:sz w:val="24"/>
                <w:szCs w:val="24"/>
                <w:lang w:val="es-MX"/>
              </w:rPr>
            </w:pPr>
            <w:r w:rsidRPr="009B2B8F">
              <w:rPr>
                <w:rFonts w:ascii="Calibri" w:hAnsi="Calibri" w:cs="Calibri"/>
                <w:sz w:val="22"/>
                <w:lang w:val="es-MX"/>
              </w:rPr>
              <w:t xml:space="preserve">CSV continúa buscando la acreditación de  Hogar Médico Centrado en  el Paciente a través del National Center on Quality Assurance durante los próximos años. CSV recibió la certificación departe de Joint Commission como Hogar Médico Centrado en el Paciente el 18 de abril de 2014. Aun hay una serie de pasos por completar antes de que se implemente plenamente este modelo.  </w:t>
            </w:r>
          </w:p>
        </w:tc>
      </w:tr>
      <w:tr w:rsidR="006D5C3F" w:rsidRPr="009B2B8F" w:rsidTr="007E1CBA">
        <w:tc>
          <w:tcPr>
            <w:tcW w:w="3870" w:type="dxa"/>
            <w:vAlign w:val="center"/>
          </w:tcPr>
          <w:p w:rsidR="006D5C3F" w:rsidRPr="009B2B8F" w:rsidRDefault="004F280E" w:rsidP="00491E19">
            <w:pPr>
              <w:spacing w:after="60"/>
              <w:contextualSpacing/>
              <w:rPr>
                <w:rFonts w:ascii="Calibri" w:hAnsi="Calibri"/>
                <w:sz w:val="22"/>
                <w:lang w:val="es-MX"/>
              </w:rPr>
            </w:pPr>
            <w:r w:rsidRPr="009B2B8F">
              <w:rPr>
                <w:rFonts w:ascii="Calibri" w:hAnsi="Calibri" w:cs="Calibri"/>
                <w:sz w:val="22"/>
                <w:lang w:val="es-MX"/>
              </w:rPr>
              <w:t>Aumentar la disponibilidad y la integración de servicios de salud a través de espacios no tradicionales, incluyendo: escuelas; clínicas móviles; y proveedores no tradicionales y apoyos tales como pasantes</w:t>
            </w:r>
            <w:r w:rsidRPr="009B2B8F">
              <w:rPr>
                <w:rFonts w:ascii="Calibri" w:hAnsi="Calibri"/>
                <w:sz w:val="22"/>
                <w:lang w:val="es-MX"/>
              </w:rPr>
              <w:t>.</w:t>
            </w:r>
          </w:p>
        </w:tc>
        <w:tc>
          <w:tcPr>
            <w:tcW w:w="6390" w:type="dxa"/>
          </w:tcPr>
          <w:p w:rsidR="00487C6F" w:rsidRPr="009B2B8F" w:rsidRDefault="00487C6F" w:rsidP="00487C6F">
            <w:pPr>
              <w:spacing w:after="0"/>
              <w:rPr>
                <w:rFonts w:ascii="Calibri" w:hAnsi="Calibri" w:cs="Calibri"/>
                <w:sz w:val="24"/>
                <w:szCs w:val="24"/>
                <w:lang w:val="es-MX"/>
              </w:rPr>
            </w:pPr>
            <w:r w:rsidRPr="009B2B8F">
              <w:rPr>
                <w:rFonts w:ascii="Calibri" w:hAnsi="Calibri" w:cs="Calibri"/>
                <w:sz w:val="22"/>
                <w:lang w:val="es-MX"/>
              </w:rPr>
              <w:t>Debbie W. compartió varios ejemplos de cómo el papel de las enfermeras escolares se está expandiendo para ofrecer más servicios de salud en el ámbito escolar para proporcionar más servicios de cuidado de salud en ámbitos  escolares para la gestión de las enfermedades crónicas de los estudiantes. También mencionó los servicios anuales de atención oftalmológica que se ofrecen a las escuelas en todo el condado. CSV ha renovado la unidad móvil médica y la unidad móvil dental y están a la espera de acreditación final.</w:t>
            </w:r>
          </w:p>
        </w:tc>
      </w:tr>
      <w:tr w:rsidR="006D5C3F" w:rsidRPr="009B2B8F" w:rsidTr="007E1CBA">
        <w:tc>
          <w:tcPr>
            <w:tcW w:w="3870" w:type="dxa"/>
            <w:vAlign w:val="center"/>
          </w:tcPr>
          <w:p w:rsidR="006D5C3F" w:rsidRPr="009B2B8F" w:rsidRDefault="004F280E" w:rsidP="00491E19">
            <w:pPr>
              <w:spacing w:after="60"/>
              <w:contextualSpacing/>
              <w:rPr>
                <w:rFonts w:ascii="Calibri" w:hAnsi="Calibri"/>
                <w:sz w:val="22"/>
                <w:lang w:val="es-MX"/>
              </w:rPr>
            </w:pPr>
            <w:r w:rsidRPr="009B2B8F">
              <w:rPr>
                <w:rFonts w:ascii="Calibri" w:hAnsi="Calibri" w:cs="Calibri"/>
                <w:sz w:val="22"/>
                <w:lang w:val="es-MX"/>
              </w:rPr>
              <w:t>Crear una cultura de prevención entre el 100% de los socios comunitarios de CCS-SK mediante la integración de la educación sobre el uso apropiado de cuidado de urgencia/ emergencia como una práctica habitual durante la inscripción y los servicios de vinculación</w:t>
            </w:r>
          </w:p>
        </w:tc>
        <w:tc>
          <w:tcPr>
            <w:tcW w:w="6390" w:type="dxa"/>
          </w:tcPr>
          <w:p w:rsidR="00EE4F4F" w:rsidRPr="009B2B8F" w:rsidRDefault="00EE4F4F" w:rsidP="00D53A70">
            <w:pPr>
              <w:spacing w:after="0"/>
              <w:rPr>
                <w:rFonts w:ascii="Calibri" w:hAnsi="Calibri" w:cs="Calibri"/>
                <w:sz w:val="24"/>
                <w:szCs w:val="24"/>
                <w:lang w:val="es-MX"/>
              </w:rPr>
            </w:pPr>
            <w:r w:rsidRPr="009B2B8F">
              <w:rPr>
                <w:rFonts w:ascii="Calibri" w:hAnsi="Calibri" w:cs="Calibri"/>
                <w:sz w:val="22"/>
                <w:lang w:val="es-MX"/>
              </w:rPr>
              <w:t>El Comité de Alcance Comunitario, Inscripción, Retención y Utilización (OERUC, por sus siglas en inglés), a través de la Iniciativa de Salud de la Comunidad, están finalizando las revisiones del manual de acceso al cuidado de la salud para hacer frente a la utilización del uso  de la atención de emergencia/urgencia junto con muchos otros consejos de salud e información útil.  El manual revisado ya está disponible para que los consejeros de inscripción lo utilicen.</w:t>
            </w:r>
          </w:p>
        </w:tc>
      </w:tr>
      <w:tr w:rsidR="006D5C3F" w:rsidRPr="009B2B8F" w:rsidTr="007E1CBA">
        <w:tc>
          <w:tcPr>
            <w:tcW w:w="3870" w:type="dxa"/>
            <w:vAlign w:val="center"/>
          </w:tcPr>
          <w:p w:rsidR="006D5C3F" w:rsidRPr="009B2B8F" w:rsidRDefault="004F280E" w:rsidP="00491E19">
            <w:pPr>
              <w:spacing w:after="60"/>
              <w:contextualSpacing/>
              <w:rPr>
                <w:rFonts w:ascii="Calibri" w:hAnsi="Calibri"/>
                <w:sz w:val="22"/>
                <w:lang w:val="es-MX"/>
              </w:rPr>
            </w:pPr>
            <w:r w:rsidRPr="009B2B8F">
              <w:rPr>
                <w:rFonts w:ascii="Calibri" w:hAnsi="Calibri" w:cs="Calibri"/>
                <w:sz w:val="22"/>
                <w:lang w:val="es-MX"/>
              </w:rPr>
              <w:t>Abogar por que los líderes de gobierno local celebren un foro comunitario sobre las necesidades de cuidado de salud de emergencia y los recursos en el sur de Kern</w:t>
            </w:r>
          </w:p>
        </w:tc>
        <w:tc>
          <w:tcPr>
            <w:tcW w:w="6390" w:type="dxa"/>
          </w:tcPr>
          <w:p w:rsidR="006D5C3F" w:rsidRPr="009B2B8F" w:rsidRDefault="00EE4F4F" w:rsidP="00D53A70">
            <w:pPr>
              <w:spacing w:after="0"/>
              <w:rPr>
                <w:rFonts w:ascii="Calibri" w:hAnsi="Calibri" w:cs="Calibri"/>
                <w:sz w:val="24"/>
                <w:szCs w:val="24"/>
                <w:lang w:val="es-MX"/>
              </w:rPr>
            </w:pPr>
            <w:r w:rsidRPr="009B2B8F">
              <w:rPr>
                <w:rFonts w:ascii="Calibri" w:hAnsi="Calibri" w:cs="Calibri"/>
                <w:sz w:val="22"/>
                <w:lang w:val="es-MX"/>
              </w:rPr>
              <w:t>El Foro de Acceso a Servicios de Emergencia se celebró el 16 de octubre de 2014.</w:t>
            </w:r>
          </w:p>
        </w:tc>
      </w:tr>
    </w:tbl>
    <w:p w:rsidR="004F280E" w:rsidRPr="009B2B8F" w:rsidRDefault="004F280E" w:rsidP="004F280E">
      <w:pPr>
        <w:spacing w:before="240"/>
        <w:rPr>
          <w:rFonts w:ascii="Calibri" w:hAnsi="Calibri" w:cs="Calibri"/>
          <w:b/>
          <w:i/>
          <w:sz w:val="24"/>
          <w:szCs w:val="24"/>
          <w:lang w:val="es-MX"/>
        </w:rPr>
      </w:pPr>
      <w:r w:rsidRPr="009B2B8F">
        <w:rPr>
          <w:rFonts w:ascii="Calibri" w:hAnsi="Calibri" w:cs="Calibri"/>
          <w:b/>
          <w:i/>
          <w:sz w:val="24"/>
          <w:szCs w:val="24"/>
          <w:lang w:val="es-MX"/>
        </w:rPr>
        <w:t>Favor de adjuntar una copia de la hoja de asistencia de la reunión.</w:t>
      </w:r>
    </w:p>
    <w:p w:rsidR="001D3496" w:rsidRPr="009B2B8F" w:rsidRDefault="001D3496" w:rsidP="004F280E">
      <w:pPr>
        <w:spacing w:before="120"/>
        <w:rPr>
          <w:rFonts w:ascii="Calibri" w:hAnsi="Calibri" w:cs="Calibri"/>
          <w:b/>
          <w:i/>
          <w:sz w:val="24"/>
          <w:szCs w:val="24"/>
          <w:lang w:val="es-MX"/>
        </w:rPr>
      </w:pPr>
    </w:p>
    <w:sectPr w:rsidR="001D3496" w:rsidRPr="009B2B8F"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55" w:rsidRDefault="00030855">
      <w:pPr>
        <w:spacing w:after="0"/>
      </w:pPr>
      <w:r>
        <w:separator/>
      </w:r>
    </w:p>
    <w:p w:rsidR="00030855" w:rsidRDefault="00030855"/>
    <w:p w:rsidR="00030855" w:rsidRDefault="00030855"/>
  </w:endnote>
  <w:endnote w:type="continuationSeparator" w:id="0">
    <w:p w:rsidR="00030855" w:rsidRDefault="00030855">
      <w:pPr>
        <w:spacing w:after="0"/>
      </w:pPr>
      <w:r>
        <w:continuationSeparator/>
      </w:r>
    </w:p>
    <w:p w:rsidR="00030855" w:rsidRDefault="00030855"/>
    <w:p w:rsidR="00030855" w:rsidRDefault="00030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8169B8" w:rsidRDefault="008169B8" w:rsidP="00003FB5">
    <w:pPr>
      <w:pStyle w:val="Footer"/>
      <w:jc w:val="center"/>
      <w:rPr>
        <w:rFonts w:ascii="Rockwell" w:hAnsi="Rockwell"/>
        <w:b/>
        <w:caps/>
        <w:color w:val="148DCD"/>
        <w:sz w:val="22"/>
        <w:lang w:val="es-ES"/>
      </w:rPr>
    </w:pPr>
    <w:r w:rsidRPr="008169B8">
      <w:rPr>
        <w:rFonts w:ascii="Rockwell" w:hAnsi="Rockwell"/>
        <w:b/>
        <w:caps/>
        <w:color w:val="148DCD"/>
        <w:sz w:val="22"/>
        <w:lang w:val="es-ES"/>
      </w:rPr>
      <w:t>TENEMOS EL PODER PARA CONSTRUIR COMUNIDADES SALU</w:t>
    </w:r>
    <w:r>
      <w:rPr>
        <w:rFonts w:ascii="Rockwell" w:hAnsi="Rockwell"/>
        <w:b/>
        <w:caps/>
        <w:color w:val="148DCD"/>
        <w:sz w:val="22"/>
        <w:lang w:val="es-ES"/>
      </w:rPr>
      <w:t>DABLES PARA LA PRÓXIMA GENERACIÓ</w:t>
    </w:r>
    <w:r w:rsidRPr="008169B8">
      <w:rPr>
        <w:rFonts w:ascii="Rockwell" w:hAnsi="Rockwell"/>
        <w:b/>
        <w:caps/>
        <w:color w:val="148DCD"/>
        <w:sz w:val="22"/>
        <w:lang w:val="es-ES"/>
      </w:rPr>
      <w:t>N</w:t>
    </w:r>
  </w:p>
  <w:p w:rsidR="005F1A2B" w:rsidRPr="008169B8" w:rsidRDefault="005F1A2B" w:rsidP="00003FB5">
    <w:pPr>
      <w:pStyle w:val="Footer"/>
      <w:rPr>
        <w:szCs w:val="24"/>
        <w:lang w:val="es-ES"/>
      </w:rPr>
    </w:pPr>
  </w:p>
  <w:p w:rsidR="00003FB5" w:rsidRPr="008169B8" w:rsidRDefault="00003FB5" w:rsidP="00003FB5">
    <w:pPr>
      <w:pStyle w:val="Footer"/>
      <w:rPr>
        <w:szCs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55" w:rsidRDefault="00030855">
      <w:pPr>
        <w:spacing w:after="0"/>
      </w:pPr>
      <w:r>
        <w:separator/>
      </w:r>
    </w:p>
    <w:p w:rsidR="00030855" w:rsidRDefault="00030855"/>
    <w:p w:rsidR="00030855" w:rsidRDefault="00030855"/>
  </w:footnote>
  <w:footnote w:type="continuationSeparator" w:id="0">
    <w:p w:rsidR="00030855" w:rsidRDefault="00030855">
      <w:pPr>
        <w:spacing w:after="0"/>
      </w:pPr>
      <w:r>
        <w:continuationSeparator/>
      </w:r>
    </w:p>
    <w:p w:rsidR="00030855" w:rsidRDefault="00030855"/>
    <w:p w:rsidR="00030855" w:rsidRDefault="000308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625AC4">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06975AB"/>
    <w:multiLevelType w:val="hybridMultilevel"/>
    <w:tmpl w:val="C88AC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72392"/>
    <w:multiLevelType w:val="hybridMultilevel"/>
    <w:tmpl w:val="8B0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C4E8B"/>
    <w:multiLevelType w:val="hybridMultilevel"/>
    <w:tmpl w:val="E41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7D5CB5"/>
    <w:multiLevelType w:val="hybridMultilevel"/>
    <w:tmpl w:val="95C4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4935DC"/>
    <w:multiLevelType w:val="hybridMultilevel"/>
    <w:tmpl w:val="A3B04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435B6"/>
    <w:multiLevelType w:val="hybridMultilevel"/>
    <w:tmpl w:val="DED05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523E5"/>
    <w:multiLevelType w:val="hybridMultilevel"/>
    <w:tmpl w:val="6AEEB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8AB383D"/>
    <w:multiLevelType w:val="hybridMultilevel"/>
    <w:tmpl w:val="B24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24D85"/>
    <w:multiLevelType w:val="hybridMultilevel"/>
    <w:tmpl w:val="3E1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3C65FF"/>
    <w:multiLevelType w:val="hybridMultilevel"/>
    <w:tmpl w:val="82047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253892"/>
    <w:multiLevelType w:val="hybridMultilevel"/>
    <w:tmpl w:val="1258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337CA2"/>
    <w:multiLevelType w:val="hybridMultilevel"/>
    <w:tmpl w:val="B6266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BB54DE"/>
    <w:multiLevelType w:val="hybridMultilevel"/>
    <w:tmpl w:val="F30EF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D51B43"/>
    <w:multiLevelType w:val="hybridMultilevel"/>
    <w:tmpl w:val="3670DA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C8F75D6"/>
    <w:multiLevelType w:val="hybridMultilevel"/>
    <w:tmpl w:val="4482A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D23058"/>
    <w:multiLevelType w:val="hybridMultilevel"/>
    <w:tmpl w:val="A864771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0377B8"/>
    <w:multiLevelType w:val="hybridMultilevel"/>
    <w:tmpl w:val="2BF4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D8434E"/>
    <w:multiLevelType w:val="hybridMultilevel"/>
    <w:tmpl w:val="7D58F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5"/>
  </w:num>
  <w:num w:numId="9">
    <w:abstractNumId w:val="26"/>
  </w:num>
  <w:num w:numId="10">
    <w:abstractNumId w:val="10"/>
  </w:num>
  <w:num w:numId="11">
    <w:abstractNumId w:val="12"/>
  </w:num>
  <w:num w:numId="12">
    <w:abstractNumId w:val="22"/>
  </w:num>
  <w:num w:numId="13">
    <w:abstractNumId w:val="31"/>
  </w:num>
  <w:num w:numId="14">
    <w:abstractNumId w:val="16"/>
  </w:num>
  <w:num w:numId="15">
    <w:abstractNumId w:val="9"/>
  </w:num>
  <w:num w:numId="16">
    <w:abstractNumId w:val="21"/>
  </w:num>
  <w:num w:numId="17">
    <w:abstractNumId w:val="24"/>
  </w:num>
  <w:num w:numId="18">
    <w:abstractNumId w:val="17"/>
  </w:num>
  <w:num w:numId="19">
    <w:abstractNumId w:val="4"/>
  </w:num>
  <w:num w:numId="20">
    <w:abstractNumId w:val="18"/>
  </w:num>
  <w:num w:numId="21">
    <w:abstractNumId w:val="33"/>
  </w:num>
  <w:num w:numId="22">
    <w:abstractNumId w:val="7"/>
  </w:num>
  <w:num w:numId="23">
    <w:abstractNumId w:val="29"/>
  </w:num>
  <w:num w:numId="24">
    <w:abstractNumId w:val="20"/>
  </w:num>
  <w:num w:numId="25">
    <w:abstractNumId w:val="32"/>
  </w:num>
  <w:num w:numId="26">
    <w:abstractNumId w:val="28"/>
  </w:num>
  <w:num w:numId="27">
    <w:abstractNumId w:val="8"/>
  </w:num>
  <w:num w:numId="28">
    <w:abstractNumId w:val="30"/>
  </w:num>
  <w:num w:numId="29">
    <w:abstractNumId w:val="3"/>
  </w:num>
  <w:num w:numId="30">
    <w:abstractNumId w:val="27"/>
  </w:num>
  <w:num w:numId="31">
    <w:abstractNumId w:val="11"/>
  </w:num>
  <w:num w:numId="32">
    <w:abstractNumId w:val="23"/>
  </w:num>
  <w:num w:numId="33">
    <w:abstractNumId w:val="15"/>
  </w:num>
  <w:num w:numId="34">
    <w:abstractNumId w:val="19"/>
  </w:num>
  <w:num w:numId="35">
    <w:abstractNumId w:val="25"/>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attachedTemplate r:id="rId1"/>
  <w:defaultTabStop w:val="720"/>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221C1"/>
    <w:rsid w:val="000255D6"/>
    <w:rsid w:val="00030855"/>
    <w:rsid w:val="00036E99"/>
    <w:rsid w:val="0005373B"/>
    <w:rsid w:val="00065DFE"/>
    <w:rsid w:val="00066FB6"/>
    <w:rsid w:val="00067B43"/>
    <w:rsid w:val="00071B31"/>
    <w:rsid w:val="0007478C"/>
    <w:rsid w:val="000928D5"/>
    <w:rsid w:val="000A047A"/>
    <w:rsid w:val="000A36A3"/>
    <w:rsid w:val="000C4585"/>
    <w:rsid w:val="000C77C8"/>
    <w:rsid w:val="00120214"/>
    <w:rsid w:val="0012175F"/>
    <w:rsid w:val="001256BB"/>
    <w:rsid w:val="00136186"/>
    <w:rsid w:val="00136C5F"/>
    <w:rsid w:val="00143F4F"/>
    <w:rsid w:val="0015225D"/>
    <w:rsid w:val="001551F0"/>
    <w:rsid w:val="0015534B"/>
    <w:rsid w:val="00156519"/>
    <w:rsid w:val="0015715C"/>
    <w:rsid w:val="00160A37"/>
    <w:rsid w:val="001622C9"/>
    <w:rsid w:val="00162D59"/>
    <w:rsid w:val="001713E7"/>
    <w:rsid w:val="00192C5B"/>
    <w:rsid w:val="00195119"/>
    <w:rsid w:val="001C03B7"/>
    <w:rsid w:val="001D0041"/>
    <w:rsid w:val="001D3496"/>
    <w:rsid w:val="001F294A"/>
    <w:rsid w:val="001F5E62"/>
    <w:rsid w:val="001F60EA"/>
    <w:rsid w:val="001F79FA"/>
    <w:rsid w:val="00217A7B"/>
    <w:rsid w:val="00220686"/>
    <w:rsid w:val="00237AA0"/>
    <w:rsid w:val="002434C8"/>
    <w:rsid w:val="00252D67"/>
    <w:rsid w:val="0026022F"/>
    <w:rsid w:val="00264D1A"/>
    <w:rsid w:val="0026717C"/>
    <w:rsid w:val="002671ED"/>
    <w:rsid w:val="002848DC"/>
    <w:rsid w:val="002967C0"/>
    <w:rsid w:val="00296D6F"/>
    <w:rsid w:val="002A0958"/>
    <w:rsid w:val="002A1765"/>
    <w:rsid w:val="002A3156"/>
    <w:rsid w:val="002B1A46"/>
    <w:rsid w:val="002B3B6F"/>
    <w:rsid w:val="002E0D6D"/>
    <w:rsid w:val="002F25D1"/>
    <w:rsid w:val="002F3816"/>
    <w:rsid w:val="002F7E5C"/>
    <w:rsid w:val="00305B3E"/>
    <w:rsid w:val="003235F9"/>
    <w:rsid w:val="0032390F"/>
    <w:rsid w:val="00331FBC"/>
    <w:rsid w:val="003328BF"/>
    <w:rsid w:val="00347874"/>
    <w:rsid w:val="00360671"/>
    <w:rsid w:val="00364E43"/>
    <w:rsid w:val="00371761"/>
    <w:rsid w:val="00375C9F"/>
    <w:rsid w:val="00383C64"/>
    <w:rsid w:val="003A1225"/>
    <w:rsid w:val="003A557C"/>
    <w:rsid w:val="003B438F"/>
    <w:rsid w:val="003B60BD"/>
    <w:rsid w:val="003C16EF"/>
    <w:rsid w:val="003E5015"/>
    <w:rsid w:val="003F7FEF"/>
    <w:rsid w:val="00453A72"/>
    <w:rsid w:val="0045518C"/>
    <w:rsid w:val="004578C6"/>
    <w:rsid w:val="00467001"/>
    <w:rsid w:val="00480C26"/>
    <w:rsid w:val="004842CB"/>
    <w:rsid w:val="00487C6F"/>
    <w:rsid w:val="00490EB3"/>
    <w:rsid w:val="004A42B8"/>
    <w:rsid w:val="004B0641"/>
    <w:rsid w:val="004B37E9"/>
    <w:rsid w:val="004B3A14"/>
    <w:rsid w:val="004B7675"/>
    <w:rsid w:val="004C57EA"/>
    <w:rsid w:val="004C73A4"/>
    <w:rsid w:val="004C7704"/>
    <w:rsid w:val="004D1AA5"/>
    <w:rsid w:val="004D40A9"/>
    <w:rsid w:val="004D6B72"/>
    <w:rsid w:val="004E1576"/>
    <w:rsid w:val="004F280E"/>
    <w:rsid w:val="005119EB"/>
    <w:rsid w:val="00511F0C"/>
    <w:rsid w:val="005446B7"/>
    <w:rsid w:val="00565CA6"/>
    <w:rsid w:val="00565EA4"/>
    <w:rsid w:val="005B6D9E"/>
    <w:rsid w:val="005C2554"/>
    <w:rsid w:val="005C31B4"/>
    <w:rsid w:val="005C4707"/>
    <w:rsid w:val="005C4DB5"/>
    <w:rsid w:val="005C5A3A"/>
    <w:rsid w:val="005D0593"/>
    <w:rsid w:val="005E23BC"/>
    <w:rsid w:val="005E3909"/>
    <w:rsid w:val="005E60AE"/>
    <w:rsid w:val="005E65FC"/>
    <w:rsid w:val="005F1A2B"/>
    <w:rsid w:val="00600F0D"/>
    <w:rsid w:val="00603AD6"/>
    <w:rsid w:val="00607439"/>
    <w:rsid w:val="006117E9"/>
    <w:rsid w:val="00625AC4"/>
    <w:rsid w:val="00626270"/>
    <w:rsid w:val="0062653B"/>
    <w:rsid w:val="00633D24"/>
    <w:rsid w:val="00642EF3"/>
    <w:rsid w:val="0064386B"/>
    <w:rsid w:val="006521CC"/>
    <w:rsid w:val="00660413"/>
    <w:rsid w:val="00662765"/>
    <w:rsid w:val="00663E6C"/>
    <w:rsid w:val="006705BE"/>
    <w:rsid w:val="006724E5"/>
    <w:rsid w:val="00672A27"/>
    <w:rsid w:val="00677508"/>
    <w:rsid w:val="00687214"/>
    <w:rsid w:val="006A2A48"/>
    <w:rsid w:val="006A6C77"/>
    <w:rsid w:val="006B0372"/>
    <w:rsid w:val="006C6E9C"/>
    <w:rsid w:val="006D4E04"/>
    <w:rsid w:val="006D5C3F"/>
    <w:rsid w:val="006F0446"/>
    <w:rsid w:val="00716B57"/>
    <w:rsid w:val="00726ED0"/>
    <w:rsid w:val="00732215"/>
    <w:rsid w:val="00732D2E"/>
    <w:rsid w:val="00741361"/>
    <w:rsid w:val="00745255"/>
    <w:rsid w:val="00746188"/>
    <w:rsid w:val="007554BC"/>
    <w:rsid w:val="0077035C"/>
    <w:rsid w:val="007707AF"/>
    <w:rsid w:val="00797CD0"/>
    <w:rsid w:val="007B0D60"/>
    <w:rsid w:val="007B3E56"/>
    <w:rsid w:val="007C5639"/>
    <w:rsid w:val="007E1CBA"/>
    <w:rsid w:val="007F7459"/>
    <w:rsid w:val="00812076"/>
    <w:rsid w:val="008169B8"/>
    <w:rsid w:val="00831A90"/>
    <w:rsid w:val="008321D6"/>
    <w:rsid w:val="00836B64"/>
    <w:rsid w:val="008417CF"/>
    <w:rsid w:val="0085189A"/>
    <w:rsid w:val="00857259"/>
    <w:rsid w:val="00861561"/>
    <w:rsid w:val="008672C2"/>
    <w:rsid w:val="00872681"/>
    <w:rsid w:val="00876798"/>
    <w:rsid w:val="00877D31"/>
    <w:rsid w:val="0089630F"/>
    <w:rsid w:val="008A18E3"/>
    <w:rsid w:val="008A2926"/>
    <w:rsid w:val="008A67CF"/>
    <w:rsid w:val="008C184E"/>
    <w:rsid w:val="008F3112"/>
    <w:rsid w:val="008F72A6"/>
    <w:rsid w:val="00902117"/>
    <w:rsid w:val="00903D4B"/>
    <w:rsid w:val="00910576"/>
    <w:rsid w:val="00914507"/>
    <w:rsid w:val="00986477"/>
    <w:rsid w:val="00996FCE"/>
    <w:rsid w:val="009A6065"/>
    <w:rsid w:val="009A6882"/>
    <w:rsid w:val="009B00F3"/>
    <w:rsid w:val="009B2B8F"/>
    <w:rsid w:val="009C12F2"/>
    <w:rsid w:val="009D423F"/>
    <w:rsid w:val="009E1BE4"/>
    <w:rsid w:val="009F7CA0"/>
    <w:rsid w:val="00A028E5"/>
    <w:rsid w:val="00A0479A"/>
    <w:rsid w:val="00A11F9D"/>
    <w:rsid w:val="00A233F1"/>
    <w:rsid w:val="00A248F1"/>
    <w:rsid w:val="00A30255"/>
    <w:rsid w:val="00A322B5"/>
    <w:rsid w:val="00A329E3"/>
    <w:rsid w:val="00A4634C"/>
    <w:rsid w:val="00A518C9"/>
    <w:rsid w:val="00A74C15"/>
    <w:rsid w:val="00A8170C"/>
    <w:rsid w:val="00AA4B8F"/>
    <w:rsid w:val="00AA569C"/>
    <w:rsid w:val="00AB66D2"/>
    <w:rsid w:val="00AC1617"/>
    <w:rsid w:val="00AC46FB"/>
    <w:rsid w:val="00AD34E5"/>
    <w:rsid w:val="00AE253C"/>
    <w:rsid w:val="00AE447E"/>
    <w:rsid w:val="00AE5A02"/>
    <w:rsid w:val="00AE62E1"/>
    <w:rsid w:val="00AF2B9A"/>
    <w:rsid w:val="00AF3BD9"/>
    <w:rsid w:val="00B02AB1"/>
    <w:rsid w:val="00B0353E"/>
    <w:rsid w:val="00B15305"/>
    <w:rsid w:val="00B1642D"/>
    <w:rsid w:val="00B16519"/>
    <w:rsid w:val="00B44371"/>
    <w:rsid w:val="00B47EF5"/>
    <w:rsid w:val="00B60143"/>
    <w:rsid w:val="00B71553"/>
    <w:rsid w:val="00B7317D"/>
    <w:rsid w:val="00B901FA"/>
    <w:rsid w:val="00BB6408"/>
    <w:rsid w:val="00BC6770"/>
    <w:rsid w:val="00BC7615"/>
    <w:rsid w:val="00BD0982"/>
    <w:rsid w:val="00BD7DA8"/>
    <w:rsid w:val="00C20EAA"/>
    <w:rsid w:val="00C22B92"/>
    <w:rsid w:val="00C26EC6"/>
    <w:rsid w:val="00C4500B"/>
    <w:rsid w:val="00C63992"/>
    <w:rsid w:val="00C674AB"/>
    <w:rsid w:val="00C72A25"/>
    <w:rsid w:val="00C900DA"/>
    <w:rsid w:val="00C92884"/>
    <w:rsid w:val="00CB1D4B"/>
    <w:rsid w:val="00CB69A9"/>
    <w:rsid w:val="00CC7217"/>
    <w:rsid w:val="00CE2840"/>
    <w:rsid w:val="00CE3454"/>
    <w:rsid w:val="00CE3B2C"/>
    <w:rsid w:val="00CF1172"/>
    <w:rsid w:val="00D028CC"/>
    <w:rsid w:val="00D04549"/>
    <w:rsid w:val="00D04DCD"/>
    <w:rsid w:val="00D10002"/>
    <w:rsid w:val="00D10AD7"/>
    <w:rsid w:val="00D234F1"/>
    <w:rsid w:val="00D2491F"/>
    <w:rsid w:val="00D25BDB"/>
    <w:rsid w:val="00D30D22"/>
    <w:rsid w:val="00D420D7"/>
    <w:rsid w:val="00D458A2"/>
    <w:rsid w:val="00D47C02"/>
    <w:rsid w:val="00D53A70"/>
    <w:rsid w:val="00D6558A"/>
    <w:rsid w:val="00D729E5"/>
    <w:rsid w:val="00D903DC"/>
    <w:rsid w:val="00D913A9"/>
    <w:rsid w:val="00D91E59"/>
    <w:rsid w:val="00D91ED9"/>
    <w:rsid w:val="00DA6FDA"/>
    <w:rsid w:val="00DC743E"/>
    <w:rsid w:val="00DD1B38"/>
    <w:rsid w:val="00DD1EFC"/>
    <w:rsid w:val="00DD3D9A"/>
    <w:rsid w:val="00DD606A"/>
    <w:rsid w:val="00DD6FE7"/>
    <w:rsid w:val="00DE06F9"/>
    <w:rsid w:val="00DF2FE5"/>
    <w:rsid w:val="00E0333B"/>
    <w:rsid w:val="00E07D66"/>
    <w:rsid w:val="00E13742"/>
    <w:rsid w:val="00E32FCA"/>
    <w:rsid w:val="00E51D8D"/>
    <w:rsid w:val="00E52C97"/>
    <w:rsid w:val="00E544E1"/>
    <w:rsid w:val="00E600B9"/>
    <w:rsid w:val="00E62E98"/>
    <w:rsid w:val="00E74609"/>
    <w:rsid w:val="00E74698"/>
    <w:rsid w:val="00E757B9"/>
    <w:rsid w:val="00E766C7"/>
    <w:rsid w:val="00E80DAA"/>
    <w:rsid w:val="00E816BB"/>
    <w:rsid w:val="00E8672B"/>
    <w:rsid w:val="00E93D9D"/>
    <w:rsid w:val="00E97E13"/>
    <w:rsid w:val="00EA2CCE"/>
    <w:rsid w:val="00EA3F63"/>
    <w:rsid w:val="00EC1E46"/>
    <w:rsid w:val="00EC60F7"/>
    <w:rsid w:val="00ED6D05"/>
    <w:rsid w:val="00EE4F4F"/>
    <w:rsid w:val="00EF2C28"/>
    <w:rsid w:val="00F00F6D"/>
    <w:rsid w:val="00F17A4D"/>
    <w:rsid w:val="00F2114F"/>
    <w:rsid w:val="00F2182E"/>
    <w:rsid w:val="00F26034"/>
    <w:rsid w:val="00F26C16"/>
    <w:rsid w:val="00F30F3E"/>
    <w:rsid w:val="00F33EF8"/>
    <w:rsid w:val="00F47A80"/>
    <w:rsid w:val="00F50CB7"/>
    <w:rsid w:val="00F647C6"/>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99013506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67023B7-FE94-438B-AB76-6DBD14E4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759</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Mireles, Diana</cp:lastModifiedBy>
  <cp:revision>2</cp:revision>
  <cp:lastPrinted>2013-01-26T22:07:00Z</cp:lastPrinted>
  <dcterms:created xsi:type="dcterms:W3CDTF">2015-11-09T18:36:00Z</dcterms:created>
  <dcterms:modified xsi:type="dcterms:W3CDTF">2015-11-09T18:36:00Z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